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D" w:rsidRDefault="00556F8D" w:rsidP="00556F8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Имущественные налоги: вопросы и ответы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56F8D" w:rsidRPr="00CB5C4B" w:rsidRDefault="00556F8D" w:rsidP="00556F8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Что такое налоговое уведомление и как его исполнить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</w:t>
      </w:r>
      <w:r>
        <w:rPr>
          <w:sz w:val="28"/>
          <w:szCs w:val="28"/>
        </w:rPr>
        <w:t xml:space="preserve">н </w:t>
      </w:r>
      <w:r w:rsidRPr="00CB5C4B">
        <w:rPr>
          <w:sz w:val="28"/>
          <w:szCs w:val="28"/>
        </w:rPr>
        <w:t>НДФЛ) возложена на налоговые органы (</w:t>
      </w:r>
      <w:r>
        <w:rPr>
          <w:sz w:val="28"/>
          <w:szCs w:val="28"/>
        </w:rPr>
        <w:t xml:space="preserve">пункт 2 </w:t>
      </w:r>
      <w:r w:rsidRPr="00CB5C4B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CB5C4B">
        <w:rPr>
          <w:sz w:val="28"/>
          <w:szCs w:val="28"/>
        </w:rPr>
        <w:t>52 Налогового кодекса Р</w:t>
      </w:r>
      <w:r>
        <w:rPr>
          <w:sz w:val="28"/>
          <w:szCs w:val="28"/>
        </w:rPr>
        <w:t>оссийской Федерации, далее – НК РФ)</w:t>
      </w:r>
      <w:r w:rsidRPr="00CB5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связи с этим налоговые органы не позднее 30 дней до наступления срока </w:t>
      </w:r>
      <w:r>
        <w:rPr>
          <w:sz w:val="28"/>
          <w:szCs w:val="28"/>
        </w:rPr>
        <w:t xml:space="preserve">уплаты </w:t>
      </w:r>
      <w:r w:rsidRPr="00CB5C4B">
        <w:rPr>
          <w:sz w:val="28"/>
          <w:szCs w:val="28"/>
        </w:rPr>
        <w:t xml:space="preserve">по вышеперечисленным налогам направляют </w:t>
      </w:r>
      <w:proofErr w:type="gramStart"/>
      <w:r w:rsidRPr="00CB5C4B">
        <w:rPr>
          <w:sz w:val="28"/>
          <w:szCs w:val="28"/>
        </w:rPr>
        <w:t>налогоплательщикам-физическим</w:t>
      </w:r>
      <w:proofErr w:type="gramEnd"/>
      <w:r w:rsidRPr="00CB5C4B">
        <w:rPr>
          <w:sz w:val="28"/>
          <w:szCs w:val="28"/>
        </w:rPr>
        <w:t xml:space="preserve"> лицам налоговые уведомление для уплаты налогов. </w:t>
      </w:r>
      <w:bookmarkStart w:id="0" w:name="Par2"/>
      <w:bookmarkEnd w:id="0"/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Форма налогового уведомления утверждена приказом ФНС России от 07.09.2016 № ММВ-7-11/477@</w:t>
      </w:r>
      <w:r>
        <w:rPr>
          <w:sz w:val="28"/>
          <w:szCs w:val="28"/>
        </w:rPr>
        <w:t xml:space="preserve"> и включает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QR</w:t>
      </w:r>
      <w:r w:rsidRPr="007F62D5">
        <w:rPr>
          <w:sz w:val="28"/>
          <w:szCs w:val="28"/>
        </w:rPr>
        <w:t xml:space="preserve">-код, штрих-код, </w:t>
      </w:r>
      <w:r>
        <w:rPr>
          <w:sz w:val="28"/>
          <w:szCs w:val="28"/>
        </w:rPr>
        <w:t xml:space="preserve">УИН, </w:t>
      </w:r>
      <w:r w:rsidRPr="007F62D5">
        <w:rPr>
          <w:sz w:val="28"/>
          <w:szCs w:val="28"/>
        </w:rPr>
        <w:t>банковские реквизиты платежа)</w:t>
      </w:r>
      <w:r w:rsidRPr="00CB5C4B">
        <w:rPr>
          <w:sz w:val="28"/>
          <w:szCs w:val="28"/>
        </w:rPr>
        <w:t xml:space="preserve">.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 случае</w:t>
      </w:r>
      <w:proofErr w:type="gramStart"/>
      <w:r w:rsidRPr="00CB5C4B">
        <w:rPr>
          <w:sz w:val="28"/>
          <w:szCs w:val="28"/>
        </w:rPr>
        <w:t>,</w:t>
      </w:r>
      <w:proofErr w:type="gramEnd"/>
      <w:r w:rsidRPr="00CB5C4B">
        <w:rPr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B5C4B">
        <w:rPr>
          <w:sz w:val="28"/>
          <w:szCs w:val="28"/>
        </w:rPr>
        <w:t xml:space="preserve">Налоговое </w:t>
      </w:r>
      <w:hyperlink r:id="rId5" w:history="1">
        <w:r w:rsidRPr="00CB5C4B">
          <w:rPr>
            <w:sz w:val="28"/>
            <w:szCs w:val="28"/>
          </w:rPr>
          <w:t>уведомление</w:t>
        </w:r>
      </w:hyperlink>
      <w:r w:rsidRPr="00CB5C4B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н</w:t>
      </w:r>
      <w:r>
        <w:rPr>
          <w:snapToGrid/>
          <w:sz w:val="28"/>
          <w:szCs w:val="28"/>
        </w:rPr>
        <w:t xml:space="preserve">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>
        <w:rPr>
          <w:snapToGrid/>
          <w:sz w:val="28"/>
          <w:szCs w:val="28"/>
        </w:rPr>
        <w:t>с даты направления</w:t>
      </w:r>
      <w:proofErr w:type="gramEnd"/>
      <w:r>
        <w:rPr>
          <w:snapToGrid/>
          <w:sz w:val="28"/>
          <w:szCs w:val="28"/>
        </w:rPr>
        <w:t xml:space="preserve"> заказного письма.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Налогоплательщик (его </w:t>
      </w:r>
      <w:hyperlink r:id="rId6" w:history="1">
        <w:r w:rsidRPr="003230C9">
          <w:rPr>
            <w:snapToGrid/>
            <w:sz w:val="28"/>
            <w:szCs w:val="28"/>
          </w:rPr>
          <w:t>законный</w:t>
        </w:r>
      </w:hyperlink>
      <w:r w:rsidRPr="003230C9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</w:t>
      </w:r>
      <w:r>
        <w:rPr>
          <w:snapToGrid/>
          <w:sz w:val="28"/>
          <w:szCs w:val="28"/>
        </w:rPr>
        <w:t>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</w:t>
      </w:r>
      <w:r w:rsidRPr="003230C9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(форма заявления утверждена приказом ФНС России от 11.11.2019 № ММВ-7-21/560@)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Налоговое уведомление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года.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Что делать, если в налоговом уведомлении некорректная информация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</w:t>
      </w:r>
      <w:r w:rsidRPr="00CB5C4B">
        <w:rPr>
          <w:sz w:val="28"/>
          <w:szCs w:val="28"/>
        </w:rPr>
        <w:lastRenderedPageBreak/>
        <w:t xml:space="preserve">регистрацию прав на недвижимое имущество, </w:t>
      </w:r>
      <w:hyperlink r:id="rId7" w:history="1">
        <w:r w:rsidRPr="00CB5C4B">
          <w:rPr>
            <w:sz w:val="28"/>
            <w:szCs w:val="28"/>
          </w:rPr>
          <w:t>органы</w:t>
        </w:r>
      </w:hyperlink>
      <w:r w:rsidRPr="00CB5C4B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</w:t>
      </w:r>
      <w:proofErr w:type="gramEnd"/>
      <w:r w:rsidRPr="00CB5C4B">
        <w:rPr>
          <w:sz w:val="28"/>
          <w:szCs w:val="28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CB5C4B">
        <w:rPr>
          <w:sz w:val="28"/>
          <w:szCs w:val="28"/>
        </w:rPr>
        <w:t>т.ч</w:t>
      </w:r>
      <w:proofErr w:type="spellEnd"/>
      <w:r w:rsidRPr="00CB5C4B">
        <w:rPr>
          <w:sz w:val="28"/>
          <w:szCs w:val="28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  <w:r>
        <w:rPr>
          <w:sz w:val="28"/>
          <w:szCs w:val="28"/>
        </w:rPr>
        <w:t xml:space="preserve">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для иных лиц: посредством личного обращения в люб</w:t>
      </w:r>
      <w:r>
        <w:rPr>
          <w:sz w:val="28"/>
          <w:szCs w:val="28"/>
        </w:rPr>
        <w:t xml:space="preserve">ой налоговый орган </w:t>
      </w:r>
      <w:r w:rsidRPr="00CB5C4B">
        <w:rPr>
          <w:sz w:val="28"/>
          <w:szCs w:val="28"/>
        </w:rPr>
        <w:t xml:space="preserve">либо путём направления почтового сообщения, или с использованием </w:t>
      </w:r>
      <w:proofErr w:type="gramStart"/>
      <w:r w:rsidRPr="00CB5C4B">
        <w:rPr>
          <w:sz w:val="28"/>
          <w:szCs w:val="28"/>
        </w:rPr>
        <w:t>интернет-сервиса</w:t>
      </w:r>
      <w:proofErr w:type="gramEnd"/>
      <w:r w:rsidRPr="00CB5C4B">
        <w:rPr>
          <w:sz w:val="28"/>
          <w:szCs w:val="28"/>
        </w:rPr>
        <w:t xml:space="preserve"> ФНС России «Обратиться в ФНС России».</w:t>
      </w:r>
      <w:r>
        <w:rPr>
          <w:sz w:val="28"/>
          <w:szCs w:val="28"/>
        </w:rPr>
        <w:t xml:space="preserve">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CB5C4B">
        <w:rPr>
          <w:sz w:val="28"/>
          <w:szCs w:val="28"/>
        </w:rPr>
        <w:t xml:space="preserve"> и т.п.).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При наличии оснований для перерасчета налога и формирования нового налогового уведомления налогов</w:t>
      </w:r>
      <w:r>
        <w:rPr>
          <w:sz w:val="28"/>
          <w:szCs w:val="28"/>
        </w:rPr>
        <w:t xml:space="preserve">ый орган </w:t>
      </w:r>
      <w:r w:rsidRPr="00CB5C4B">
        <w:rPr>
          <w:sz w:val="28"/>
          <w:szCs w:val="28"/>
        </w:rPr>
        <w:t xml:space="preserve">не позднее 30 дней (в исключительных случаях указанный срок может быть продлен не более чем на 30 дней): </w:t>
      </w:r>
      <w:r>
        <w:rPr>
          <w:sz w:val="28"/>
          <w:szCs w:val="28"/>
        </w:rPr>
        <w:t xml:space="preserve">пересмотрит </w:t>
      </w:r>
      <w:r w:rsidRPr="00CB5C4B">
        <w:rPr>
          <w:sz w:val="28"/>
          <w:szCs w:val="28"/>
        </w:rPr>
        <w:t>ранее начисленную сумму налога</w:t>
      </w:r>
      <w:r>
        <w:rPr>
          <w:sz w:val="28"/>
          <w:szCs w:val="28"/>
        </w:rPr>
        <w:t>,</w:t>
      </w:r>
      <w:r w:rsidRPr="00CB5C4B">
        <w:rPr>
          <w:sz w:val="28"/>
          <w:szCs w:val="28"/>
        </w:rPr>
        <w:t xml:space="preserve"> сформирует </w:t>
      </w:r>
      <w:r>
        <w:rPr>
          <w:sz w:val="28"/>
          <w:szCs w:val="28"/>
        </w:rPr>
        <w:t xml:space="preserve">(при наличии оснований) </w:t>
      </w:r>
      <w:r w:rsidRPr="00CB5C4B">
        <w:rPr>
          <w:sz w:val="28"/>
          <w:szCs w:val="28"/>
        </w:rPr>
        <w:t>новое налоговое уведомление с указанием нового срока уплаты налога и направит ответ на обращение</w:t>
      </w:r>
      <w:r>
        <w:rPr>
          <w:sz w:val="28"/>
          <w:szCs w:val="28"/>
        </w:rPr>
        <w:t xml:space="preserve"> налогоплательщика </w:t>
      </w:r>
      <w:r w:rsidRPr="00CB5C4B">
        <w:rPr>
          <w:sz w:val="28"/>
          <w:szCs w:val="28"/>
        </w:rPr>
        <w:t xml:space="preserve">(разместит его в </w:t>
      </w:r>
      <w:r>
        <w:rPr>
          <w:sz w:val="28"/>
          <w:szCs w:val="28"/>
        </w:rPr>
        <w:t>л</w:t>
      </w:r>
      <w:r w:rsidRPr="00CB5C4B">
        <w:rPr>
          <w:sz w:val="28"/>
          <w:szCs w:val="28"/>
        </w:rPr>
        <w:t>ичном кабинете</w:t>
      </w:r>
      <w:proofErr w:type="gramEnd"/>
      <w:r w:rsidRPr="00CB5C4B">
        <w:rPr>
          <w:sz w:val="28"/>
          <w:szCs w:val="28"/>
        </w:rPr>
        <w:t xml:space="preserve"> налогоплательщика).</w:t>
      </w:r>
      <w:r>
        <w:rPr>
          <w:sz w:val="28"/>
          <w:szCs w:val="28"/>
        </w:rPr>
        <w:t xml:space="preserve">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Дополнительную информацию можно получить по </w:t>
      </w:r>
      <w:r w:rsidR="004162EB">
        <w:rPr>
          <w:sz w:val="28"/>
          <w:szCs w:val="28"/>
        </w:rPr>
        <w:t xml:space="preserve">бесплатному </w:t>
      </w:r>
      <w:r w:rsidRPr="00CB5C4B">
        <w:rPr>
          <w:sz w:val="28"/>
          <w:szCs w:val="28"/>
        </w:rPr>
        <w:t xml:space="preserve">телефону </w:t>
      </w:r>
      <w:proofErr w:type="gramStart"/>
      <w:r w:rsidRPr="00CB5C4B">
        <w:rPr>
          <w:sz w:val="28"/>
          <w:szCs w:val="28"/>
        </w:rPr>
        <w:t>контакт-центра</w:t>
      </w:r>
      <w:proofErr w:type="gramEnd"/>
      <w:r w:rsidRPr="00CB5C4B">
        <w:rPr>
          <w:sz w:val="28"/>
          <w:szCs w:val="28"/>
        </w:rPr>
        <w:t xml:space="preserve"> ФНС России: 8 800-222-22-22.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Как проверить налоговые ставки и льготы, указанные в налоговом уведомлении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  <w:r>
        <w:rPr>
          <w:sz w:val="28"/>
          <w:szCs w:val="28"/>
        </w:rPr>
        <w:t xml:space="preserve">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по транспортному налогу: главой 28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 и законами субъектов Российской Федерации по месту нахождения транспортного средства;</w:t>
      </w:r>
      <w:r>
        <w:rPr>
          <w:sz w:val="28"/>
          <w:szCs w:val="28"/>
        </w:rPr>
        <w:t xml:space="preserve">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>- по земельному налогу и налогу на имущество физических лиц: главами 31, 32 Н</w:t>
      </w:r>
      <w:r>
        <w:rPr>
          <w:sz w:val="28"/>
          <w:szCs w:val="28"/>
        </w:rPr>
        <w:t xml:space="preserve">К РФ </w:t>
      </w:r>
      <w:r w:rsidRPr="00CB5C4B">
        <w:rPr>
          <w:sz w:val="28"/>
          <w:szCs w:val="28"/>
        </w:rPr>
        <w:t xml:space="preserve">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556F8D" w:rsidRDefault="00556F8D" w:rsidP="00556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8" w:history="1">
        <w:r w:rsidRPr="00CB5C4B">
          <w:rPr>
            <w:rStyle w:val="a8"/>
            <w:sz w:val="28"/>
            <w:szCs w:val="28"/>
          </w:rPr>
          <w:t>https://www.nalog.ru/rn77/service/tax/</w:t>
        </w:r>
      </w:hyperlink>
      <w:r w:rsidRPr="00CB5C4B">
        <w:rPr>
          <w:sz w:val="28"/>
          <w:szCs w:val="28"/>
        </w:rPr>
        <w:t xml:space="preserve">), либо обратившись </w:t>
      </w:r>
      <w:bookmarkStart w:id="1" w:name="_GoBack"/>
      <w:bookmarkEnd w:id="1"/>
      <w:r w:rsidRPr="00CB5C4B">
        <w:rPr>
          <w:sz w:val="28"/>
          <w:szCs w:val="28"/>
        </w:rPr>
        <w:t>в контакт-центр ФНС России (тел. 8 800 – 222-22-22).</w:t>
      </w:r>
    </w:p>
    <w:sectPr w:rsidR="00556F8D" w:rsidSect="00E811B8">
      <w:headerReference w:type="even" r:id="rId9"/>
      <w:headerReference w:type="default" r:id="rId10"/>
      <w:footerReference w:type="default" r:id="rId11"/>
      <w:pgSz w:w="11906" w:h="16838" w:code="9"/>
      <w:pgMar w:top="709" w:right="567" w:bottom="1276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4162EB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4162EB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416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4162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2D" w:rsidRDefault="004162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E102D" w:rsidRDefault="004162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8D"/>
    <w:rsid w:val="004162EB"/>
    <w:rsid w:val="00556F8D"/>
    <w:rsid w:val="007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F8D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6F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56F8D"/>
  </w:style>
  <w:style w:type="paragraph" w:styleId="a6">
    <w:name w:val="footer"/>
    <w:basedOn w:val="a"/>
    <w:link w:val="a7"/>
    <w:rsid w:val="00556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6F8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556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F8D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6F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56F8D"/>
  </w:style>
  <w:style w:type="paragraph" w:styleId="a6">
    <w:name w:val="footer"/>
    <w:basedOn w:val="a"/>
    <w:link w:val="a7"/>
    <w:rsid w:val="00556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6F8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556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C3403CE59A5220BDB708F4EC1B517ED98CA8C42A3A953BB47467636620EBA398848729E65824AP97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A80ECADC330BAF129C43A7C4211C1101317633752A1BA039446D53F0CEC6214475A04DB388EB507D07D2833g9I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Юлия Владимировна</dc:creator>
  <cp:lastModifiedBy>Королева Юлия Владимировна</cp:lastModifiedBy>
  <cp:revision>1</cp:revision>
  <dcterms:created xsi:type="dcterms:W3CDTF">2022-10-05T07:40:00Z</dcterms:created>
  <dcterms:modified xsi:type="dcterms:W3CDTF">2022-10-05T07:52:00Z</dcterms:modified>
</cp:coreProperties>
</file>