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Склонение к потреблению наркотиков преследуется по закону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Обращаем внимание, что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</w:t>
      </w:r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</w:t>
      </w:r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оконченным</w:t>
      </w:r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не требуется, чтобы склоняемое лицо фактически употребило наркотическое средство, психотропное вещество или их аналог.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</w:t>
      </w: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дей-ствия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надлежит дополнительно квалифицировать по 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. 228, 228.1 или 229 УК РФ.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</w:t>
      </w:r>
      <w:proofErr w:type="gram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поскольку</w:t>
      </w:r>
      <w:proofErr w:type="gramEnd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07721E" w:rsidRDefault="0007721E" w:rsidP="0007721E">
      <w:pPr>
        <w:shd w:val="clear" w:color="auto" w:fill="FFFFFF"/>
        <w:spacing w:before="120" w:after="312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lastRenderedPageBreak/>
        <w:t>За совершение подобного преступления в соответствии с ч.1 ст.230 УК РФ предусмотрена ответственность вплоть до лишения свободы на срок до 5 лет.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E"/>
    <w:rsid w:val="0007721E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2020-07-02T12:28:00Z</dcterms:created>
  <dcterms:modified xsi:type="dcterms:W3CDTF">2020-07-02T12:28:00Z</dcterms:modified>
</cp:coreProperties>
</file>