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56" w:rsidRPr="00DB6656" w:rsidRDefault="00DB6656" w:rsidP="00DB665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3E69C0">
        <w:rPr>
          <w:rFonts w:ascii="Times New Roman" w:eastAsia="Times New Roman" w:hAnsi="Times New Roman" w:cs="Times New Roman"/>
          <w:b/>
          <w:bCs/>
          <w:color w:val="000000"/>
          <w:sz w:val="28"/>
          <w:szCs w:val="28"/>
          <w:lang w:eastAsia="ru-RU"/>
        </w:rPr>
        <w:t>Порядок признания гражданина безвестно отсутствующим или объявления его умершим</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пропавшему смертью или дающие основание предполагать гибель от определенного несчастного случая.</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
    <w:p w:rsidR="00DB6656" w:rsidRPr="00CA53DA" w:rsidRDefault="00DB6656" w:rsidP="00DB66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D87076" w:rsidRDefault="00D87076"/>
    <w:sectPr w:rsidR="00D87076" w:rsidSect="00D87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compat/>
  <w:rsids>
    <w:rsidRoot w:val="00DB6656"/>
    <w:rsid w:val="00D87076"/>
    <w:rsid w:val="00DB6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Company>diakov.net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2020-07-29T10:27:00Z</dcterms:created>
  <dcterms:modified xsi:type="dcterms:W3CDTF">2020-07-29T10:27:00Z</dcterms:modified>
</cp:coreProperties>
</file>