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1" w:rsidRPr="0061444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Какие критерии применяются для признания информации достаточной при принятии решения об осуществлении контроля за расходами?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При этом,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Принятию решения о проведении контроля за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При этом, наличие достаточности должно определяться в каждом случае индивидуально к сложившейся ситуации.</w:t>
      </w:r>
    </w:p>
    <w:p w:rsidR="000F3D41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доходам.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С другой стороны, незаполнение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контроле за расходами.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lastRenderedPageBreak/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Также следует иметь ввиду, что главной целью контроля за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указывает на несоответствие доходов расходам и может служить основанием для осуществления контроля за расходами.</w:t>
      </w:r>
    </w:p>
    <w:p w:rsidR="000F3D41" w:rsidRPr="00557826" w:rsidRDefault="000F3D41" w:rsidP="000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26">
        <w:rPr>
          <w:rFonts w:ascii="Times New Roman" w:hAnsi="Times New Roman" w:cs="Times New Roman"/>
          <w:sz w:val="28"/>
          <w:szCs w:val="28"/>
        </w:rPr>
        <w:t>При таких обстоятельствах в ходе контроля за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41"/>
    <w:rsid w:val="000F3D41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2020-05-06T08:02:00Z</dcterms:created>
  <dcterms:modified xsi:type="dcterms:W3CDTF">2020-05-06T08:03:00Z</dcterms:modified>
</cp:coreProperties>
</file>