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00" w:rsidRPr="00982CAD" w:rsidRDefault="00B44100" w:rsidP="00B44100">
      <w:pPr>
        <w:jc w:val="center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Российская Федерация</w:t>
      </w:r>
    </w:p>
    <w:p w:rsidR="00B44100" w:rsidRDefault="00B44100" w:rsidP="00B44100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Орловская  область </w:t>
      </w:r>
    </w:p>
    <w:p w:rsidR="00B44100" w:rsidRDefault="00B44100" w:rsidP="00B44100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Верховский район</w:t>
      </w:r>
    </w:p>
    <w:p w:rsidR="00B44100" w:rsidRDefault="00B44100" w:rsidP="00B44100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АДМИНИСТРАЦИЯ </w:t>
      </w:r>
      <w:r>
        <w:rPr>
          <w:b/>
          <w:color w:val="auto"/>
          <w:sz w:val="28"/>
          <w:szCs w:val="28"/>
          <w:lang w:val="ru-RU"/>
        </w:rPr>
        <w:t>ТУРОВСКОГО</w:t>
      </w:r>
      <w:r>
        <w:rPr>
          <w:b/>
          <w:color w:val="auto"/>
          <w:sz w:val="28"/>
          <w:szCs w:val="28"/>
          <w:lang w:val="ru-RU"/>
        </w:rPr>
        <w:t xml:space="preserve"> СЕЛЬСКОГО ПОСЕЛЕНИЯ</w:t>
      </w:r>
    </w:p>
    <w:p w:rsidR="00B44100" w:rsidRDefault="00B44100" w:rsidP="00B44100">
      <w:pPr>
        <w:jc w:val="center"/>
        <w:rPr>
          <w:color w:val="auto"/>
          <w:szCs w:val="29"/>
          <w:lang w:val="ru-RU"/>
        </w:rPr>
      </w:pPr>
    </w:p>
    <w:p w:rsidR="00B44100" w:rsidRDefault="00B44100" w:rsidP="00B44100">
      <w:pPr>
        <w:jc w:val="center"/>
        <w:rPr>
          <w:b/>
          <w:color w:val="auto"/>
          <w:sz w:val="40"/>
          <w:szCs w:val="40"/>
          <w:lang w:val="ru-RU"/>
        </w:rPr>
      </w:pPr>
      <w:r>
        <w:rPr>
          <w:b/>
          <w:color w:val="auto"/>
          <w:sz w:val="40"/>
          <w:szCs w:val="40"/>
          <w:lang w:val="ru-RU"/>
        </w:rPr>
        <w:t>П О С Т А Н О В Л Е Н И Е</w:t>
      </w:r>
    </w:p>
    <w:p w:rsidR="00B44100" w:rsidRDefault="00B44100" w:rsidP="00B44100">
      <w:pPr>
        <w:rPr>
          <w:color w:val="auto"/>
          <w:sz w:val="48"/>
          <w:szCs w:val="48"/>
          <w:lang w:val="ru-RU"/>
        </w:rPr>
      </w:pPr>
    </w:p>
    <w:p w:rsidR="00B44100" w:rsidRDefault="00B44100" w:rsidP="00B44100">
      <w:pPr>
        <w:spacing w:line="100" w:lineRule="atLeast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от   </w:t>
      </w:r>
      <w:r>
        <w:rPr>
          <w:b/>
          <w:bCs/>
          <w:color w:val="auto"/>
          <w:sz w:val="28"/>
          <w:szCs w:val="28"/>
          <w:lang w:val="ru-RU"/>
        </w:rPr>
        <w:t>07</w:t>
      </w:r>
      <w:r>
        <w:rPr>
          <w:b/>
          <w:bCs/>
          <w:color w:val="auto"/>
          <w:sz w:val="28"/>
          <w:szCs w:val="28"/>
          <w:lang w:val="ru-RU"/>
        </w:rPr>
        <w:t xml:space="preserve">.07.2022     </w:t>
      </w:r>
      <w:r>
        <w:rPr>
          <w:b/>
          <w:bCs/>
          <w:color w:val="auto"/>
          <w:sz w:val="28"/>
          <w:szCs w:val="28"/>
          <w:lang w:val="ru-RU"/>
        </w:rPr>
        <w:t xml:space="preserve">                                                 </w:t>
      </w:r>
      <w:r>
        <w:rPr>
          <w:b/>
          <w:bCs/>
          <w:color w:val="auto"/>
          <w:sz w:val="28"/>
          <w:szCs w:val="28"/>
          <w:lang w:val="ru-RU"/>
        </w:rPr>
        <w:t xml:space="preserve">   №</w:t>
      </w:r>
      <w:r>
        <w:rPr>
          <w:b/>
          <w:bCs/>
          <w:color w:val="auto"/>
          <w:sz w:val="28"/>
          <w:szCs w:val="28"/>
          <w:lang w:val="ru-RU"/>
        </w:rPr>
        <w:t xml:space="preserve"> 9</w:t>
      </w: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</w:p>
    <w:p w:rsidR="00B44100" w:rsidRDefault="00B44100" w:rsidP="00B44100">
      <w:pPr>
        <w:spacing w:line="100" w:lineRule="atLeas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д</w:t>
      </w:r>
      <w:r>
        <w:rPr>
          <w:color w:val="auto"/>
          <w:sz w:val="28"/>
          <w:szCs w:val="28"/>
          <w:lang w:val="ru-RU"/>
        </w:rPr>
        <w:t>.</w:t>
      </w:r>
      <w:r>
        <w:rPr>
          <w:color w:val="auto"/>
          <w:sz w:val="28"/>
          <w:szCs w:val="28"/>
          <w:lang w:val="ru-RU"/>
        </w:rPr>
        <w:t>Туровка</w:t>
      </w:r>
    </w:p>
    <w:p w:rsidR="00B44100" w:rsidRDefault="00B44100" w:rsidP="00B44100">
      <w:pPr>
        <w:spacing w:line="100" w:lineRule="atLeast"/>
        <w:rPr>
          <w:color w:val="auto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</w:tblGrid>
      <w:tr w:rsidR="00B44100" w:rsidTr="00C64878">
        <w:trPr>
          <w:trHeight w:val="1335"/>
        </w:trPr>
        <w:tc>
          <w:tcPr>
            <w:tcW w:w="3794" w:type="dxa"/>
          </w:tcPr>
          <w:p w:rsidR="00B44100" w:rsidRDefault="00B44100" w:rsidP="00B44100">
            <w:pPr>
              <w:pStyle w:val="6"/>
              <w:tabs>
                <w:tab w:val="clear" w:pos="1152"/>
                <w:tab w:val="left" w:pos="0"/>
              </w:tabs>
              <w:spacing w:line="100" w:lineRule="atLeast"/>
              <w:ind w:left="12" w:hanging="12"/>
              <w:rPr>
                <w:bCs/>
                <w:color w:val="auto"/>
                <w:spacing w:val="-1"/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Об утверждении Порядка проведения оценки эффективности реализации муниципальных программ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Туровского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сельского поселения Верховского района Орловской области</w:t>
            </w:r>
          </w:p>
        </w:tc>
      </w:tr>
    </w:tbl>
    <w:p w:rsidR="00B44100" w:rsidRDefault="00B44100" w:rsidP="00B44100">
      <w:pPr>
        <w:pStyle w:val="6"/>
        <w:tabs>
          <w:tab w:val="left" w:pos="0"/>
        </w:tabs>
        <w:spacing w:line="100" w:lineRule="atLeast"/>
        <w:jc w:val="left"/>
        <w:rPr>
          <w:color w:val="auto"/>
          <w:sz w:val="48"/>
          <w:szCs w:val="48"/>
          <w:lang w:val="ru-RU"/>
        </w:rPr>
      </w:pPr>
      <w:r>
        <w:rPr>
          <w:color w:val="auto"/>
          <w:lang w:val="ru-RU"/>
        </w:rPr>
        <w:t xml:space="preserve"> 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 xml:space="preserve">       В соответствии с пунктом 3 статьи 179 Бюджетного кодекса Российской Федерации,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в целях проведения оценки эффективности реализации муниципальных программ</w:t>
      </w:r>
      <w:r w:rsidRPr="00982CAD"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Василье</w:t>
      </w:r>
      <w:r w:rsidRPr="00982CAD"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вского </w:t>
      </w:r>
      <w:r>
        <w:rPr>
          <w:rFonts w:eastAsia="Arial" w:cs="Arial"/>
          <w:color w:val="auto"/>
          <w:sz w:val="28"/>
          <w:szCs w:val="28"/>
          <w:lang w:val="ru-RU"/>
        </w:rPr>
        <w:t xml:space="preserve">сельского поселения,  Администрация </w:t>
      </w:r>
      <w:r>
        <w:rPr>
          <w:rFonts w:eastAsia="Arial" w:cs="Arial"/>
          <w:color w:val="auto"/>
          <w:sz w:val="28"/>
          <w:szCs w:val="28"/>
          <w:lang w:val="ru-RU"/>
        </w:rPr>
        <w:t>Туровского</w:t>
      </w:r>
      <w:r>
        <w:rPr>
          <w:rFonts w:eastAsia="Arial" w:cs="Arial"/>
          <w:color w:val="auto"/>
          <w:sz w:val="28"/>
          <w:szCs w:val="28"/>
          <w:lang w:val="ru-RU"/>
        </w:rPr>
        <w:t xml:space="preserve"> сельского поселения</w:t>
      </w:r>
    </w:p>
    <w:p w:rsidR="00B44100" w:rsidRDefault="00B44100" w:rsidP="00B44100">
      <w:pPr>
        <w:jc w:val="both"/>
        <w:rPr>
          <w:rFonts w:eastAsia="Arial" w:cs="Arial"/>
          <w:b/>
          <w:color w:val="auto"/>
          <w:sz w:val="28"/>
          <w:szCs w:val="28"/>
          <w:lang w:val="ru-RU"/>
        </w:rPr>
      </w:pPr>
      <w:r>
        <w:rPr>
          <w:rFonts w:eastAsia="Arial" w:cs="Arial"/>
          <w:b/>
          <w:color w:val="auto"/>
          <w:sz w:val="28"/>
          <w:szCs w:val="28"/>
          <w:lang w:val="ru-RU"/>
        </w:rPr>
        <w:t>ПОСТАНОВЛЯЕТ:</w:t>
      </w:r>
    </w:p>
    <w:p w:rsidR="00B44100" w:rsidRDefault="00B44100" w:rsidP="00B44100">
      <w:pPr>
        <w:jc w:val="both"/>
        <w:rPr>
          <w:rFonts w:eastAsia="Arial" w:cs="Arial"/>
          <w:color w:val="auto"/>
          <w:sz w:val="28"/>
          <w:szCs w:val="28"/>
          <w:lang w:val="ru-RU"/>
        </w:rPr>
      </w:pPr>
    </w:p>
    <w:p w:rsidR="00B44100" w:rsidRDefault="00B44100" w:rsidP="00B44100">
      <w:pPr>
        <w:ind w:firstLine="539"/>
        <w:jc w:val="both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>1. Утвердить прилагаемый</w:t>
      </w:r>
      <w:r>
        <w:rPr>
          <w:lang w:val="ru-RU"/>
        </w:rPr>
        <w:t xml:space="preserve"> </w:t>
      </w:r>
      <w:r>
        <w:rPr>
          <w:rFonts w:eastAsia="Arial" w:cs="Arial"/>
          <w:color w:val="auto"/>
          <w:sz w:val="28"/>
          <w:szCs w:val="28"/>
          <w:lang w:val="ru-RU"/>
        </w:rPr>
        <w:t xml:space="preserve">Порядок проведения оценки эффективности реализации муниципальных программ </w:t>
      </w:r>
      <w:r>
        <w:rPr>
          <w:rFonts w:eastAsia="Arial" w:cs="Arial"/>
          <w:color w:val="auto"/>
          <w:sz w:val="28"/>
          <w:szCs w:val="28"/>
          <w:lang w:val="ru-RU"/>
        </w:rPr>
        <w:t>Туровского</w:t>
      </w:r>
      <w:r>
        <w:rPr>
          <w:rFonts w:eastAsia="Arial" w:cs="Arial"/>
          <w:color w:val="auto"/>
          <w:sz w:val="28"/>
          <w:szCs w:val="28"/>
          <w:lang w:val="ru-RU"/>
        </w:rPr>
        <w:t xml:space="preserve"> сельского поселения Верховского района Орловской области.</w:t>
      </w:r>
    </w:p>
    <w:p w:rsidR="00B44100" w:rsidRDefault="00B44100" w:rsidP="00B44100">
      <w:pPr>
        <w:spacing w:line="100" w:lineRule="atLeast"/>
        <w:jc w:val="both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 xml:space="preserve">         2. Считать утратившим силу  постановление Администрации </w:t>
      </w:r>
      <w:r>
        <w:rPr>
          <w:rFonts w:eastAsia="Arial" w:cs="Arial"/>
          <w:color w:val="auto"/>
          <w:sz w:val="28"/>
          <w:szCs w:val="28"/>
          <w:lang w:val="ru-RU"/>
        </w:rPr>
        <w:t>Туровского</w:t>
      </w:r>
      <w:r>
        <w:rPr>
          <w:rFonts w:eastAsia="Arial" w:cs="Arial"/>
          <w:color w:val="auto"/>
          <w:sz w:val="28"/>
          <w:szCs w:val="28"/>
          <w:lang w:val="ru-RU"/>
        </w:rPr>
        <w:t xml:space="preserve"> сельского поселения от </w:t>
      </w:r>
      <w:r>
        <w:rPr>
          <w:color w:val="auto"/>
          <w:sz w:val="28"/>
          <w:szCs w:val="28"/>
          <w:lang w:val="ru-RU"/>
        </w:rPr>
        <w:t>2</w:t>
      </w:r>
      <w:r>
        <w:rPr>
          <w:color w:val="auto"/>
          <w:sz w:val="28"/>
          <w:szCs w:val="28"/>
          <w:lang w:val="ru-RU"/>
        </w:rPr>
        <w:t>4.</w:t>
      </w:r>
      <w:r>
        <w:rPr>
          <w:color w:val="auto"/>
          <w:sz w:val="28"/>
          <w:szCs w:val="28"/>
          <w:lang w:val="ru-RU"/>
        </w:rPr>
        <w:t>09</w:t>
      </w:r>
      <w:r>
        <w:rPr>
          <w:color w:val="auto"/>
          <w:sz w:val="28"/>
          <w:szCs w:val="28"/>
          <w:lang w:val="ru-RU"/>
        </w:rPr>
        <w:t xml:space="preserve">.2019  № </w:t>
      </w:r>
      <w:r>
        <w:rPr>
          <w:color w:val="auto"/>
          <w:sz w:val="28"/>
          <w:szCs w:val="28"/>
          <w:lang w:val="ru-RU"/>
        </w:rPr>
        <w:t>7</w:t>
      </w:r>
      <w:r>
        <w:rPr>
          <w:color w:val="auto"/>
          <w:sz w:val="28"/>
          <w:szCs w:val="28"/>
          <w:lang w:val="ru-RU"/>
        </w:rPr>
        <w:t xml:space="preserve"> «</w:t>
      </w:r>
      <w:r>
        <w:rPr>
          <w:rFonts w:eastAsia="Calibri" w:cs="Times New Roman"/>
          <w:sz w:val="28"/>
          <w:szCs w:val="28"/>
          <w:lang w:val="ru-RU"/>
        </w:rPr>
        <w:t>Об утверждении Порядка проведения оценки эффективности реализации муниципальных программ».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 xml:space="preserve">         3. </w:t>
      </w:r>
      <w:r w:rsidRPr="00674C13">
        <w:rPr>
          <w:rFonts w:cs="Times New Roman"/>
          <w:sz w:val="28"/>
          <w:szCs w:val="28"/>
          <w:lang w:val="ru-RU"/>
        </w:rPr>
        <w:t>Настоящее Постановление подлежит официальному обнародованию и размещению на официальном сайте администрации Верховского района на странице</w:t>
      </w:r>
      <w:r w:rsidRPr="00674C13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>Туровского</w:t>
      </w:r>
      <w:r w:rsidRPr="00674C13">
        <w:rPr>
          <w:rFonts w:cs="Times New Roman"/>
          <w:sz w:val="28"/>
          <w:szCs w:val="28"/>
          <w:lang w:val="ru-RU"/>
        </w:rPr>
        <w:t xml:space="preserve"> сельского поселения в сети Интернет. (</w:t>
      </w:r>
      <w:r w:rsidRPr="00674C13">
        <w:rPr>
          <w:rFonts w:cs="Times New Roman"/>
          <w:sz w:val="28"/>
          <w:szCs w:val="28"/>
        </w:rPr>
        <w:t>www</w:t>
      </w:r>
      <w:r w:rsidRPr="00674C13">
        <w:rPr>
          <w:rFonts w:cs="Times New Roman"/>
          <w:sz w:val="28"/>
          <w:szCs w:val="28"/>
          <w:lang w:val="ru-RU"/>
        </w:rPr>
        <w:t>.</w:t>
      </w:r>
      <w:r w:rsidRPr="00674C13">
        <w:rPr>
          <w:rFonts w:cs="Times New Roman"/>
          <w:sz w:val="28"/>
          <w:szCs w:val="28"/>
        </w:rPr>
        <w:t>adminverhov</w:t>
      </w:r>
      <w:r w:rsidRPr="00674C13">
        <w:rPr>
          <w:rFonts w:cs="Times New Roman"/>
          <w:sz w:val="28"/>
          <w:szCs w:val="28"/>
          <w:lang w:val="ru-RU"/>
        </w:rPr>
        <w:t>.</w:t>
      </w:r>
      <w:r w:rsidRPr="00674C13">
        <w:rPr>
          <w:rFonts w:cs="Times New Roman"/>
          <w:sz w:val="28"/>
          <w:szCs w:val="28"/>
        </w:rPr>
        <w:t>ru</w:t>
      </w:r>
      <w:r w:rsidRPr="00674C13">
        <w:rPr>
          <w:rFonts w:cs="Times New Roman"/>
          <w:sz w:val="28"/>
          <w:szCs w:val="28"/>
          <w:lang w:val="ru-RU"/>
        </w:rPr>
        <w:t>/</w:t>
      </w:r>
      <w:r w:rsidRPr="00674C13">
        <w:rPr>
          <w:rFonts w:cs="Times New Roman"/>
          <w:sz w:val="28"/>
          <w:szCs w:val="28"/>
        </w:rPr>
        <w:t>materials</w:t>
      </w:r>
      <w:r w:rsidRPr="00674C13">
        <w:rPr>
          <w:rFonts w:cs="Times New Roman"/>
          <w:sz w:val="28"/>
          <w:szCs w:val="28"/>
          <w:lang w:val="ru-RU"/>
        </w:rPr>
        <w:t>-97)</w:t>
      </w:r>
      <w:r w:rsidRPr="00674C13">
        <w:rPr>
          <w:rFonts w:cs="Times New Roman"/>
          <w:color w:val="auto"/>
          <w:sz w:val="28"/>
          <w:szCs w:val="28"/>
          <w:lang w:val="ru-RU"/>
        </w:rPr>
        <w:t>.</w:t>
      </w:r>
    </w:p>
    <w:p w:rsidR="00B44100" w:rsidRDefault="00B44100" w:rsidP="00B44100">
      <w:pPr>
        <w:ind w:firstLine="539"/>
        <w:jc w:val="both"/>
        <w:rPr>
          <w:rFonts w:eastAsia="Arial" w:cs="Arial"/>
          <w:color w:val="auto"/>
          <w:sz w:val="48"/>
          <w:szCs w:val="48"/>
          <w:lang w:val="ru-RU"/>
        </w:rPr>
      </w:pPr>
    </w:p>
    <w:p w:rsidR="00B44100" w:rsidRDefault="00B44100" w:rsidP="00B44100">
      <w:pPr>
        <w:jc w:val="both"/>
        <w:rPr>
          <w:rFonts w:eastAsia="Arial" w:cs="Arial"/>
          <w:b/>
          <w:color w:val="auto"/>
          <w:sz w:val="28"/>
          <w:szCs w:val="28"/>
          <w:lang w:val="ru-RU"/>
        </w:rPr>
      </w:pPr>
      <w:r>
        <w:rPr>
          <w:rFonts w:eastAsia="Arial" w:cs="Arial"/>
          <w:b/>
          <w:color w:val="auto"/>
          <w:sz w:val="28"/>
          <w:szCs w:val="28"/>
          <w:lang w:val="ru-RU"/>
        </w:rPr>
        <w:t xml:space="preserve">Глава </w:t>
      </w:r>
      <w:r>
        <w:rPr>
          <w:rFonts w:eastAsia="Arial" w:cs="Arial"/>
          <w:b/>
          <w:color w:val="auto"/>
          <w:sz w:val="28"/>
          <w:szCs w:val="28"/>
          <w:lang w:val="ru-RU"/>
        </w:rPr>
        <w:t>Туровского</w:t>
      </w:r>
    </w:p>
    <w:p w:rsidR="00B44100" w:rsidRDefault="00B44100" w:rsidP="00B44100">
      <w:pPr>
        <w:jc w:val="both"/>
        <w:rPr>
          <w:rFonts w:eastAsia="Arial" w:cs="Arial"/>
          <w:b/>
          <w:color w:val="auto"/>
          <w:sz w:val="28"/>
          <w:szCs w:val="28"/>
          <w:lang w:val="ru-RU"/>
        </w:rPr>
      </w:pPr>
      <w:r>
        <w:rPr>
          <w:rFonts w:eastAsia="Arial" w:cs="Arial"/>
          <w:b/>
          <w:color w:val="auto"/>
          <w:sz w:val="28"/>
          <w:szCs w:val="28"/>
          <w:lang w:val="ru-RU"/>
        </w:rPr>
        <w:t xml:space="preserve">сельского поселения                                                                        </w:t>
      </w:r>
      <w:r>
        <w:rPr>
          <w:rFonts w:eastAsia="Arial" w:cs="Arial"/>
          <w:b/>
          <w:color w:val="auto"/>
          <w:sz w:val="28"/>
          <w:szCs w:val="28"/>
          <w:lang w:val="ru-RU"/>
        </w:rPr>
        <w:t>Т.А. Щукина</w:t>
      </w:r>
    </w:p>
    <w:p w:rsidR="00B44100" w:rsidRDefault="00B44100" w:rsidP="00B44100">
      <w:pPr>
        <w:jc w:val="both"/>
        <w:rPr>
          <w:rFonts w:eastAsia="Arial" w:cs="Arial"/>
          <w:b/>
          <w:color w:val="auto"/>
          <w:sz w:val="28"/>
          <w:szCs w:val="28"/>
          <w:lang w:val="ru-RU"/>
        </w:rPr>
      </w:pPr>
    </w:p>
    <w:p w:rsidR="00B44100" w:rsidRDefault="00B44100" w:rsidP="00B44100">
      <w:pPr>
        <w:ind w:firstLine="53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44100" w:rsidRDefault="00B44100" w:rsidP="00B44100">
      <w:pPr>
        <w:ind w:firstLine="53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44100" w:rsidRDefault="00B44100" w:rsidP="00B44100">
      <w:pPr>
        <w:ind w:firstLine="53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44100" w:rsidRDefault="00B44100" w:rsidP="00B44100">
      <w:pPr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44100" w:rsidRDefault="00B44100" w:rsidP="00B44100">
      <w:pPr>
        <w:ind w:firstLine="53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44100" w:rsidRDefault="00B44100" w:rsidP="00B44100">
      <w:pPr>
        <w:spacing w:line="100" w:lineRule="atLeast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                    Приложение</w:t>
      </w:r>
    </w:p>
    <w:p w:rsidR="00B44100" w:rsidRDefault="00B44100" w:rsidP="00B44100">
      <w:pPr>
        <w:spacing w:line="100" w:lineRule="atLeast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постановлению администрации </w:t>
      </w:r>
    </w:p>
    <w:p w:rsidR="00B44100" w:rsidRDefault="00B44100" w:rsidP="00B44100">
      <w:pPr>
        <w:spacing w:line="100" w:lineRule="atLeast"/>
        <w:jc w:val="righ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                  Васильевского сельского поселения</w:t>
      </w:r>
    </w:p>
    <w:p w:rsidR="00B44100" w:rsidRDefault="00B44100" w:rsidP="00B44100">
      <w:pPr>
        <w:ind w:firstLine="539"/>
        <w:jc w:val="right"/>
        <w:rPr>
          <w:rFonts w:eastAsia="Arial"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                                                                                от      </w:t>
      </w:r>
      <w:r>
        <w:rPr>
          <w:color w:val="auto"/>
          <w:sz w:val="28"/>
          <w:szCs w:val="28"/>
          <w:lang w:val="ru-RU"/>
        </w:rPr>
        <w:t>07</w:t>
      </w:r>
      <w:r>
        <w:rPr>
          <w:color w:val="auto"/>
          <w:sz w:val="28"/>
          <w:szCs w:val="28"/>
          <w:lang w:val="ru-RU"/>
        </w:rPr>
        <w:t>.07.2022    №</w:t>
      </w:r>
      <w:r>
        <w:rPr>
          <w:color w:val="auto"/>
          <w:sz w:val="28"/>
          <w:szCs w:val="28"/>
          <w:lang w:val="ru-RU"/>
        </w:rPr>
        <w:t xml:space="preserve"> 9</w:t>
      </w:r>
      <w:r>
        <w:rPr>
          <w:color w:val="auto"/>
          <w:sz w:val="28"/>
          <w:szCs w:val="28"/>
          <w:lang w:val="ru-RU"/>
        </w:rPr>
        <w:t xml:space="preserve">  </w:t>
      </w:r>
    </w:p>
    <w:p w:rsidR="00B44100" w:rsidRDefault="00B44100" w:rsidP="00B44100">
      <w:pPr>
        <w:ind w:firstLine="539"/>
        <w:jc w:val="both"/>
        <w:rPr>
          <w:rFonts w:eastAsia="Arial" w:cs="Times New Roman"/>
          <w:color w:val="auto"/>
          <w:sz w:val="28"/>
          <w:szCs w:val="28"/>
          <w:lang w:val="ru-RU"/>
        </w:rPr>
      </w:pPr>
    </w:p>
    <w:p w:rsidR="00B44100" w:rsidRDefault="00B44100" w:rsidP="00B44100">
      <w:pPr>
        <w:jc w:val="center"/>
        <w:rPr>
          <w:rFonts w:eastAsia="Arial" w:cs="Arial"/>
          <w:b/>
          <w:color w:val="auto"/>
          <w:sz w:val="28"/>
          <w:szCs w:val="28"/>
          <w:lang w:val="ru-RU"/>
        </w:rPr>
      </w:pPr>
      <w:r>
        <w:rPr>
          <w:rFonts w:eastAsia="Arial" w:cs="Arial"/>
          <w:b/>
          <w:color w:val="auto"/>
          <w:sz w:val="28"/>
          <w:szCs w:val="28"/>
          <w:lang w:val="ru-RU"/>
        </w:rPr>
        <w:t xml:space="preserve">ПОРЯДОК </w:t>
      </w:r>
    </w:p>
    <w:p w:rsidR="00B44100" w:rsidRDefault="00B44100" w:rsidP="00B44100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проведения оценки эффективности реализации муниципальных программ </w:t>
      </w:r>
      <w:r>
        <w:rPr>
          <w:rFonts w:eastAsia="Calibri"/>
          <w:b/>
          <w:sz w:val="28"/>
          <w:szCs w:val="28"/>
          <w:lang w:val="ru-RU"/>
        </w:rPr>
        <w:t>Туровского</w:t>
      </w:r>
      <w:r>
        <w:rPr>
          <w:rFonts w:eastAsia="Calibri"/>
          <w:b/>
          <w:sz w:val="28"/>
          <w:szCs w:val="28"/>
          <w:lang w:val="ru-RU"/>
        </w:rPr>
        <w:t xml:space="preserve"> сельского поселения Верховского района Орловской области</w:t>
      </w:r>
    </w:p>
    <w:p w:rsidR="00B44100" w:rsidRDefault="00B44100" w:rsidP="00B44100">
      <w:pPr>
        <w:jc w:val="center"/>
        <w:rPr>
          <w:rFonts w:eastAsia="Arial" w:cs="Arial"/>
          <w:color w:val="auto"/>
          <w:lang w:val="ru-RU"/>
        </w:rPr>
      </w:pP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1. Настоящий Порядок проведения оценки эффективности реализации муниципальных программ </w:t>
      </w:r>
      <w:r>
        <w:rPr>
          <w:rFonts w:eastAsia="Calibri"/>
          <w:sz w:val="28"/>
          <w:lang w:val="ru-RU"/>
        </w:rPr>
        <w:t>Туровского</w:t>
      </w:r>
      <w:r>
        <w:rPr>
          <w:rFonts w:eastAsia="Calibri"/>
          <w:sz w:val="28"/>
          <w:lang w:val="ru-RU"/>
        </w:rPr>
        <w:t xml:space="preserve"> сельского поселения Верхрвского района Орловской области </w:t>
      </w:r>
      <w:r>
        <w:rPr>
          <w:rFonts w:ascii="TimesNewRomanPS-ItalicMT" w:eastAsia="Times New Roman" w:hAnsi="TimesNewRomanPS-ItalicMT" w:cs="TimesNewRomanPS-ItalicMT"/>
          <w:i/>
          <w:i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разработан в соответствии с пунктом 3 статьи 179 Бюджетного кодекса Российской Федерации для оценки результативности реализации муниципальных программ  </w:t>
      </w:r>
      <w:r>
        <w:rPr>
          <w:rFonts w:eastAsia="Calibri"/>
          <w:sz w:val="28"/>
          <w:lang w:val="ru-RU"/>
        </w:rPr>
        <w:t>Туровского</w:t>
      </w:r>
      <w:r>
        <w:rPr>
          <w:rFonts w:eastAsia="Calibri"/>
          <w:sz w:val="28"/>
          <w:lang w:val="ru-RU"/>
        </w:rPr>
        <w:t xml:space="preserve"> сельского поселения Верховского района Орловской области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(далее – муниципальные программы).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2. Оценка эффективности реализации муниципальных программ проводится ежегодно до </w:t>
      </w:r>
      <w:r>
        <w:rPr>
          <w:rFonts w:eastAsia="Times New Roman" w:cs="Times New Roman"/>
          <w:iCs/>
          <w:color w:val="auto"/>
          <w:sz w:val="28"/>
          <w:szCs w:val="28"/>
          <w:lang w:val="ru-RU" w:eastAsia="ru-RU" w:bidi="ar-SA"/>
        </w:rPr>
        <w:t>1 марта года, следующего за отчетным</w:t>
      </w:r>
      <w:r>
        <w:rPr>
          <w:rFonts w:eastAsia="Times New Roman" w:cs="Times New Roman"/>
          <w:iCs/>
          <w:color w:val="auto"/>
          <w:sz w:val="26"/>
          <w:szCs w:val="28"/>
          <w:lang w:val="ru-RU" w:eastAsia="ru-RU" w:bidi="ar-SA"/>
        </w:rPr>
        <w:t>,</w:t>
      </w:r>
      <w:r>
        <w:rPr>
          <w:rFonts w:ascii="TimesNewRomanPS-ItalicMT" w:eastAsia="Times New Roman" w:hAnsi="TimesNewRomanPS-ItalicMT" w:cs="TimesNewRomanPS-ItalicMT"/>
          <w:i/>
          <w:iCs/>
          <w:color w:val="auto"/>
          <w:sz w:val="26"/>
          <w:szCs w:val="28"/>
          <w:lang w:val="ru-RU" w:eastAsia="ru-RU" w:bidi="ar-SA"/>
        </w:rPr>
        <w:t xml:space="preserve"> 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администрацией </w:t>
      </w:r>
      <w:r>
        <w:rPr>
          <w:rFonts w:eastAsia="Calibri"/>
          <w:sz w:val="28"/>
          <w:lang w:val="ru-RU"/>
        </w:rPr>
        <w:t>Туровского</w:t>
      </w:r>
      <w:r>
        <w:rPr>
          <w:rFonts w:eastAsia="Calibri"/>
          <w:sz w:val="28"/>
          <w:lang w:val="ru-RU"/>
        </w:rPr>
        <w:t xml:space="preserve"> сельского поселения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(далее – администрация) на основании информации, содержащейся в годовых отчетах о ходе реализации муниципальных программ, представленных ответственными исполнителями в соответствии с требованиями порядка разработки и реализации муниципальных программ.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3. Оценка эффективности реализации муниципальной программы осуществляется по итогам ее реализации за отчетный период.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4. Оценка эффективности реализации муниципальной программы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проводится на основе: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1) оценки степени достижения целей и решения задач муниципальной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программы в целом путем сопоставления фактически достигнутых значений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показателей (индикаторов) муниципальной программы, подпрограмм и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основных мероприятий и их плановых значений по формуле: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lang w:val="ru-RU" w:eastAsia="ru-RU" w:bidi="ar-SA"/>
        </w:rPr>
      </w:pP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С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 xml:space="preserve">д </w:t>
      </w:r>
      <w:r>
        <w:rPr>
          <w:rFonts w:ascii="SymbolMT" w:eastAsia="Times New Roman" w:hAnsi="SymbolMT" w:cs="SymbolMT"/>
          <w:color w:val="auto"/>
          <w:lang w:val="ru-RU" w:eastAsia="ru-RU" w:bidi="ar-SA"/>
        </w:rPr>
        <w:t xml:space="preserve">= 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З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 xml:space="preserve">ф 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/ З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 xml:space="preserve">п </w:t>
      </w:r>
      <w:r>
        <w:rPr>
          <w:rFonts w:ascii="SymbolMT" w:eastAsia="Times New Roman" w:hAnsi="SymbolMT" w:cs="SymbolMT"/>
          <w:color w:val="auto"/>
          <w:lang w:val="ru-RU" w:eastAsia="ru-RU" w:bidi="ar-SA"/>
        </w:rPr>
        <w:t>х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 xml:space="preserve">100%,    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где: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С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>д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- степень достижения целей (решения задач);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З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- фактическое значение показателя (индикатора) муниципальной программы, подпрограммы и основного мероприятия;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З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>п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- плановое значение показателя (индикатора) муниципальной программы, подпрограммы и основного мероприятия (для показателей (индикаторов), желаемой тенденцией развития которых является рост значений),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или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С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 xml:space="preserve">д </w:t>
      </w:r>
      <w:r>
        <w:rPr>
          <w:rFonts w:ascii="SymbolMT" w:eastAsia="Times New Roman" w:hAnsi="SymbolMT" w:cs="SymbolMT"/>
          <w:color w:val="auto"/>
          <w:lang w:val="ru-RU" w:eastAsia="ru-RU" w:bidi="ar-SA"/>
        </w:rPr>
        <w:t xml:space="preserve">= 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З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 xml:space="preserve">п 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/ З</w:t>
      </w:r>
      <w:r>
        <w:rPr>
          <w:rFonts w:ascii="TimesNewRomanPSMT" w:eastAsia="Times New Roman" w:hAnsi="TimesNewRomanPSMT" w:cs="TimesNewRomanPSMT"/>
          <w:color w:val="auto"/>
          <w:sz w:val="14"/>
          <w:szCs w:val="14"/>
          <w:lang w:val="ru-RU" w:eastAsia="ru-RU" w:bidi="ar-SA"/>
        </w:rPr>
        <w:t xml:space="preserve">ф </w:t>
      </w:r>
      <w:r>
        <w:rPr>
          <w:rFonts w:ascii="SymbolMT" w:eastAsia="Times New Roman" w:hAnsi="SymbolMT" w:cs="SymbolMT"/>
          <w:color w:val="auto"/>
          <w:lang w:val="ru-RU" w:eastAsia="ru-RU" w:bidi="ar-SA"/>
        </w:rPr>
        <w:t>х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 xml:space="preserve">100%,   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(для показателей (индикаторов), желаемой тенденцией развития которых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является снижение значений);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2) степени соответствия запланированного уровня затрат и эффективности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lastRenderedPageBreak/>
        <w:t xml:space="preserve">использования средств бюджета </w:t>
      </w:r>
      <w:r>
        <w:rPr>
          <w:rFonts w:eastAsia="Calibri"/>
          <w:sz w:val="28"/>
          <w:lang w:val="ru-RU"/>
        </w:rPr>
        <w:t xml:space="preserve">Васильевского сельского поселения  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(основных мероприятий) за счет средств бюджетов всех уровней и внебюджетных источников по формуле: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У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 xml:space="preserve"> </w:t>
      </w:r>
      <w:r>
        <w:rPr>
          <w:rFonts w:ascii="SymbolMT" w:eastAsia="Times New Roman" w:hAnsi="SymbolMT" w:cs="SymbolMT"/>
          <w:color w:val="auto"/>
          <w:lang w:val="ru-RU" w:eastAsia="ru-RU" w:bidi="ar-SA"/>
        </w:rPr>
        <w:t xml:space="preserve">= 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 xml:space="preserve"> / Ф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п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 xml:space="preserve"> </w:t>
      </w:r>
      <w:r>
        <w:rPr>
          <w:rFonts w:ascii="SymbolMT" w:eastAsia="Times New Roman" w:hAnsi="SymbolMT" w:cs="SymbolMT"/>
          <w:color w:val="auto"/>
          <w:lang w:val="ru-RU" w:eastAsia="ru-RU" w:bidi="ar-SA"/>
        </w:rPr>
        <w:t>х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100%,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где: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У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- уровень финансирования реализации мероприятий муниципальной программы (подпрограмм, основных мероприятий);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- фактический объем финансовых ресурсов, направленный на реализацию мероприятий муниципальной программы (подпрограмм, основных мероприятий);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п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- плановый объем финансовых ресурсов на реализацию муниципальной программы (подпрограмм, основных мероприятий) на соответствующий отчетный период.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 5. При оценке эффективности реализации муниципальной программы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устанавливаются следующие критерии: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5.1. Муниципальная программа считается реализуемой с высоким уровнем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эффективности, если: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значения 95 процентов и более показателей (индикаторов) муниципальной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программы и ее подпрограмм (основных мероприятий) равны или больше 100%;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уровень финансирования реализации муниципальной программы (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У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) составил не менее 95 процентов, уровень финансирования реализации мероприятий всех подпрограмм (основных мероприятий) муниципальной программы составил не менее 90 процентов;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 не менее 95 процентов мероприятий, запланированных на отчетный год, выполнены в полном объеме.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5.2. Муниципальная программа считается реализуемой с удовлетворительным уровнем эффективности, если: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значения 80 процентов и более показателей (индикаторов) муниципальной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программы и ее подпрограмм (основных мероприятий) равны или больше 90%;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 уровень финансирования реализации муниципальной программы  (</w:t>
      </w:r>
      <w:r>
        <w:rPr>
          <w:rFonts w:ascii="TimesNewRomanPSMT" w:eastAsia="Times New Roman" w:hAnsi="TimesNewRomanPSMT" w:cs="TimesNewRomanPSMT"/>
          <w:color w:val="auto"/>
          <w:lang w:val="ru-RU" w:eastAsia="ru-RU" w:bidi="ar-SA"/>
        </w:rPr>
        <w:t>У</w:t>
      </w:r>
      <w:r>
        <w:rPr>
          <w:rFonts w:ascii="TimesNewRomanPSMT" w:eastAsia="Times New Roman" w:hAnsi="TimesNewRomanPSMT" w:cs="TimesNewRomanPSMT"/>
          <w:color w:val="auto"/>
          <w:vertAlign w:val="subscript"/>
          <w:lang w:val="ru-RU" w:eastAsia="ru-RU" w:bidi="ar-SA"/>
        </w:rPr>
        <w:t>ф</w:t>
      </w: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) составил не менее 70 процентов;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не менее 80 процентов мероприятий, запланированных на отчетный год, выполнены в полном объеме.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5.3. Если реализация муниципальной программы не отвечает приведенным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>выше критериям, уровень эффективности ее реализации признается неудовлетворительным.</w:t>
      </w:r>
    </w:p>
    <w:p w:rsidR="00B44100" w:rsidRDefault="00B44100" w:rsidP="00B44100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       6. По результатам указанной оценки администрацией </w:t>
      </w:r>
      <w:r>
        <w:rPr>
          <w:rFonts w:eastAsia="Calibri"/>
          <w:sz w:val="28"/>
          <w:lang w:val="ru-RU"/>
        </w:rPr>
        <w:t>Туровского</w:t>
      </w:r>
      <w:bookmarkStart w:id="0" w:name="_GoBack"/>
      <w:bookmarkEnd w:id="0"/>
      <w:r>
        <w:rPr>
          <w:rFonts w:ascii="TimesNewRomanPSMT" w:eastAsia="Times New Roman" w:hAnsi="TimesNewRomanPSMT" w:cs="TimesNewRomanPSMT"/>
          <w:color w:val="auto"/>
          <w:sz w:val="28"/>
          <w:szCs w:val="28"/>
          <w:lang w:val="ru-RU" w:eastAsia="ru-RU" w:bidi="ar-SA"/>
        </w:rPr>
        <w:t xml:space="preserve"> сельского поселения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>
        <w:rPr>
          <w:rFonts w:ascii="TimesNewRomanPSMT" w:eastAsia="Times New Roman" w:hAnsi="TimesNewRomanPSMT" w:cs="TimesNewRomanPSMT"/>
          <w:color w:val="auto"/>
          <w:sz w:val="20"/>
          <w:szCs w:val="20"/>
          <w:lang w:val="ru-RU" w:eastAsia="ru-RU" w:bidi="ar-SA"/>
        </w:rPr>
        <w:t xml:space="preserve"> </w:t>
      </w:r>
    </w:p>
    <w:p w:rsidR="00B44100" w:rsidRDefault="00B44100" w:rsidP="00B44100">
      <w:pPr>
        <w:ind w:firstLine="1134"/>
        <w:jc w:val="center"/>
        <w:rPr>
          <w:rFonts w:eastAsia="Calibri"/>
          <w:lang w:val="ru-RU"/>
        </w:rPr>
      </w:pPr>
    </w:p>
    <w:p w:rsidR="00D24E7E" w:rsidRPr="00B44100" w:rsidRDefault="00D24E7E">
      <w:pPr>
        <w:rPr>
          <w:lang w:val="ru-RU"/>
        </w:rPr>
      </w:pPr>
    </w:p>
    <w:sectPr w:rsidR="00D24E7E" w:rsidRPr="00B44100">
      <w:headerReference w:type="even" r:id="rId5"/>
      <w:headerReference w:type="default" r:id="rId6"/>
      <w:pgSz w:w="11906" w:h="16838"/>
      <w:pgMar w:top="1134" w:right="567" w:bottom="1134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NewRomanPS-ItalicMT">
    <w:altName w:val="Segoe Print"/>
    <w:charset w:val="CC"/>
    <w:family w:val="auto"/>
    <w:pitch w:val="default"/>
    <w:sig w:usb0="00000203" w:usb1="00000000" w:usb2="00000000" w:usb3="00000000" w:csb0="00000005" w:csb1="00000000"/>
  </w:font>
  <w:font w:name="SymbolMT">
    <w:altName w:val="Angsana New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D" w:rsidRDefault="00B441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07D" w:rsidRDefault="00B441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7D" w:rsidRDefault="00B44100" w:rsidP="00332681">
    <w:pPr>
      <w:pStyle w:val="a7"/>
    </w:pPr>
    <w:r>
      <w:fldChar w:fldCharType="begin"/>
    </w:r>
    <w:r>
      <w:instrText>PAGE   \* MERGEFORMAT</w:instrText>
    </w:r>
    <w:r>
      <w:fldChar w:fldCharType="separate"/>
    </w:r>
    <w:r w:rsidRPr="00B44100">
      <w:rPr>
        <w:noProof/>
        <w:lang w:val="ru-RU" w:eastAsia="ru-RU"/>
      </w:rPr>
      <w:t>4</w:t>
    </w:r>
    <w:r>
      <w:fldChar w:fldCharType="end"/>
    </w:r>
  </w:p>
  <w:p w:rsidR="003B607D" w:rsidRDefault="00B441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0"/>
    <w:rsid w:val="009354FE"/>
    <w:rsid w:val="00B44100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7A61-F117-4CB9-BF28-1A385CE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qFormat/>
    <w:rsid w:val="00B44100"/>
    <w:pPr>
      <w:keepNext/>
      <w:numPr>
        <w:ilvl w:val="5"/>
        <w:numId w:val="1"/>
      </w:numPr>
      <w:tabs>
        <w:tab w:val="left" w:pos="1152"/>
      </w:tabs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character" w:customStyle="1" w:styleId="60">
    <w:name w:val="Заголовок 6 Знак"/>
    <w:basedOn w:val="a0"/>
    <w:link w:val="6"/>
    <w:rsid w:val="00B44100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styleId="a6">
    <w:name w:val="page number"/>
    <w:rsid w:val="00B44100"/>
  </w:style>
  <w:style w:type="paragraph" w:styleId="a7">
    <w:name w:val="header"/>
    <w:basedOn w:val="a"/>
    <w:link w:val="a8"/>
    <w:uiPriority w:val="99"/>
    <w:rsid w:val="00B44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10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B441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4100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2022-12-28T12:50:00Z</cp:lastPrinted>
  <dcterms:created xsi:type="dcterms:W3CDTF">2022-12-28T12:46:00Z</dcterms:created>
  <dcterms:modified xsi:type="dcterms:W3CDTF">2022-12-28T12:50:00Z</dcterms:modified>
</cp:coreProperties>
</file>