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РОССИЙСКАЯ ФЕДЕРАЦИЯ                    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ОРЛОВСКАЯ ОБЛАСТЬ  ВЕРХОВСКИЙ РАЙОН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40"/>
          <w:lang w:eastAsia="ru-RU"/>
        </w:rPr>
        <w:t xml:space="preserve">ПЕСОЧЕНСКИЙ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  <w:t>СЕЛЬСКИЙ СОВЕТ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  <w:t>НАРОДНЫХ ДЕПУТАТОВ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eastAsia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50" w:firstLineChars="125"/>
        <w:jc w:val="center"/>
        <w:textAlignment w:val="auto"/>
        <w:rPr>
          <w:rFonts w:hint="default" w:ascii="Arial" w:hAnsi="Arial" w:eastAsia="Times New Roman" w:cs="Arial"/>
          <w:b/>
          <w:sz w:val="36"/>
          <w:szCs w:val="36"/>
          <w:lang w:eastAsia="ru-RU"/>
        </w:rPr>
      </w:pPr>
      <w:r>
        <w:rPr>
          <w:rFonts w:hint="default" w:ascii="Arial" w:hAnsi="Arial" w:eastAsia="Times New Roman" w:cs="Arial"/>
          <w:b/>
          <w:sz w:val="36"/>
          <w:szCs w:val="36"/>
          <w:lang w:eastAsia="ru-RU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75" w:firstLineChars="125"/>
        <w:jc w:val="both"/>
        <w:textAlignment w:val="auto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</w:rPr>
        <w:t>от «</w:t>
      </w:r>
      <w:r>
        <w:rPr>
          <w:rFonts w:hint="default" w:ascii="Arial" w:hAnsi="Arial" w:cs="Arial"/>
          <w:sz w:val="22"/>
          <w:szCs w:val="22"/>
          <w:lang w:val="ru-RU"/>
        </w:rPr>
        <w:t>17</w:t>
      </w:r>
      <w:r>
        <w:rPr>
          <w:rFonts w:hint="default" w:ascii="Arial" w:hAnsi="Arial" w:cs="Arial"/>
          <w:sz w:val="22"/>
          <w:szCs w:val="22"/>
        </w:rPr>
        <w:t xml:space="preserve">» </w:t>
      </w:r>
      <w:r>
        <w:rPr>
          <w:rFonts w:hint="default" w:ascii="Arial" w:hAnsi="Arial" w:cs="Arial"/>
          <w:sz w:val="22"/>
          <w:szCs w:val="22"/>
          <w:lang w:val="ru-RU"/>
        </w:rPr>
        <w:t>марта</w:t>
      </w:r>
      <w:r>
        <w:rPr>
          <w:rFonts w:hint="default" w:ascii="Arial" w:hAnsi="Arial" w:cs="Arial"/>
          <w:sz w:val="22"/>
          <w:szCs w:val="22"/>
        </w:rPr>
        <w:t xml:space="preserve"> 202</w:t>
      </w:r>
      <w:r>
        <w:rPr>
          <w:rFonts w:hint="default" w:ascii="Arial" w:hAnsi="Arial" w:cs="Arial"/>
          <w:sz w:val="22"/>
          <w:szCs w:val="22"/>
          <w:lang w:val="ru-RU"/>
        </w:rPr>
        <w:t>3</w:t>
      </w:r>
      <w:r>
        <w:rPr>
          <w:rFonts w:hint="default" w:ascii="Arial" w:hAnsi="Arial" w:cs="Arial"/>
          <w:sz w:val="22"/>
          <w:szCs w:val="22"/>
        </w:rPr>
        <w:t xml:space="preserve"> года                    </w:t>
      </w:r>
      <w:r>
        <w:rPr>
          <w:rFonts w:hint="default" w:ascii="Arial" w:hAnsi="Arial" w:cs="Arial"/>
          <w:sz w:val="22"/>
          <w:szCs w:val="22"/>
          <w:lang w:val="ru-RU"/>
        </w:rPr>
        <w:t xml:space="preserve">                               </w:t>
      </w:r>
      <w:r>
        <w:rPr>
          <w:rFonts w:hint="default" w:ascii="Arial" w:hAnsi="Arial" w:cs="Arial"/>
          <w:sz w:val="22"/>
          <w:szCs w:val="22"/>
        </w:rPr>
        <w:t xml:space="preserve">                               № 4</w:t>
      </w:r>
      <w:r>
        <w:rPr>
          <w:rFonts w:hint="default" w:ascii="Arial" w:hAnsi="Arial" w:cs="Arial"/>
          <w:sz w:val="22"/>
          <w:szCs w:val="22"/>
          <w:lang w:val="ru-RU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75" w:firstLineChars="125"/>
        <w:jc w:val="both"/>
        <w:textAlignment w:val="auto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>д</w:t>
      </w:r>
      <w:r>
        <w:rPr>
          <w:rFonts w:hint="default" w:ascii="Arial" w:hAnsi="Arial" w:cs="Arial"/>
          <w:sz w:val="22"/>
          <w:szCs w:val="22"/>
        </w:rPr>
        <w:t>. Ск</w:t>
      </w:r>
      <w:r>
        <w:rPr>
          <w:rFonts w:hint="default" w:ascii="Arial" w:hAnsi="Arial" w:cs="Arial"/>
          <w:sz w:val="22"/>
          <w:szCs w:val="22"/>
          <w:lang w:val="ru-RU"/>
        </w:rPr>
        <w:t>ухотиновка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sz w:val="28"/>
          <w:szCs w:val="28"/>
        </w:rPr>
        <w:t>«О внесении изменений в решение «О бюджете Песоченского сельского  поселения на 2023 год и плановый период 2024-2025гг. от 28 декабря 2022 года №39»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соответствии с Положением «О бюджетном процессе Песоченского сельского поселения Верховского района Орловской области»,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решением Песоченского сельского Совета народных депутатов Верховского района Орловской области № 37 от 9 декабря 2022г,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согласно Протеста прокуратуры Верховского района от 15.01.2023г. №14-2023 на решение сельского Совета народных депутатов «О бюджете Песоченского сельского поселения на 2023г. и плановый период 2024-2025гг» </w:t>
      </w:r>
      <w:r>
        <w:rPr>
          <w:rFonts w:hint="default" w:ascii="Times New Roman" w:hAnsi="Times New Roman" w:cs="Times New Roman"/>
          <w:sz w:val="28"/>
          <w:szCs w:val="28"/>
        </w:rPr>
        <w:t>Песоченский сельский Совет народных депутатов решил: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Внести изменения в Решение Песоченского сельского Совета народных депутатов от 28 декабря 2022 года № 39 «О бюджете Песоченского сельского поселения  на 2023 год и плановый период 2024 и 2025 годов» согласно приложениям 1 и 2 .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 Песоченского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сельского поселения                                                     Л.Н.Селютина</w:t>
      </w: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spacing w:after="0" w:line="240" w:lineRule="auto"/>
        <w:jc w:val="both"/>
        <w:rPr>
          <w:rFonts w:cs="Times New Roman" w:asciiTheme="majorHAnsi" w:hAnsiTheme="majorHAnsi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к решению  Песоченского сельского Совета народных депутатов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от 20.02.2023 г. №</w:t>
      </w:r>
    </w:p>
    <w:p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 2023 г. и плановый период 2024-2025гг.»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Поступление доходов в бюджет Песоченского сельского поселения на 2023 год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07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114 06013 05 0000 430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200 00000 00 0000 000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Calibri" w:hAnsi="Calibri" w:eastAsia="Calibri" w:cs="Calibri"/>
                <w:color w:val="000000"/>
              </w:rPr>
              <w:t>20240000000000150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Calibri" w:hAnsi="Calibri" w:eastAsia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659,5</w:t>
            </w:r>
          </w:p>
        </w:tc>
      </w:tr>
    </w:tbl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к решению  Песоченского сельского Совета народных депутатов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от 20.02.2023 г. №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 2023 г. и плановый период 2024-2025гг.</w:t>
      </w:r>
    </w:p>
    <w:p>
      <w:pPr>
        <w:spacing w:line="240" w:lineRule="atLeast"/>
        <w:jc w:val="center"/>
        <w:rPr>
          <w:b/>
        </w:rPr>
      </w:pPr>
      <w:r>
        <w:rPr>
          <w:b/>
        </w:rPr>
        <w:t>Поступление доходов в бюджет Песоченского сельского поселения на  плановый период 2024 и 2025 годов.</w:t>
      </w:r>
    </w:p>
    <w:p>
      <w:pPr>
        <w:spacing w:line="240" w:lineRule="atLeast"/>
        <w:jc w:val="both"/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786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786" w:type="dxa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755,0</w:t>
            </w:r>
          </w:p>
        </w:tc>
        <w:tc>
          <w:tcPr>
            <w:tcW w:w="993" w:type="dxa"/>
          </w:tcPr>
          <w:p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200 00000 00 0000 000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2 0215001 10 0000 150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993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4786" w:type="dxa"/>
          </w:tcPr>
          <w:p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</w:pPr>
            <w:r>
              <w:t>36,0</w:t>
            </w:r>
          </w:p>
        </w:tc>
        <w:tc>
          <w:tcPr>
            <w:tcW w:w="993" w:type="dxa"/>
          </w:tcPr>
          <w:p>
            <w:pPr>
              <w:spacing w:line="240" w:lineRule="atLeast"/>
            </w:pPr>
            <w:r>
              <w:t>37,3</w:t>
            </w:r>
          </w:p>
        </w:tc>
      </w:tr>
    </w:tbl>
    <w:p>
      <w:pPr>
        <w:jc w:val="both"/>
        <w:rPr>
          <w:sz w:val="18"/>
          <w:szCs w:val="1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67A75B"/>
    <w:multiLevelType w:val="singleLevel"/>
    <w:tmpl w:val="1E67A7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11156"/>
    <w:rsid w:val="00007410"/>
    <w:rsid w:val="004205DD"/>
    <w:rsid w:val="00587031"/>
    <w:rsid w:val="005C2687"/>
    <w:rsid w:val="006C7247"/>
    <w:rsid w:val="00A847EB"/>
    <w:rsid w:val="00B11156"/>
    <w:rsid w:val="00C9356A"/>
    <w:rsid w:val="00CB0FF2"/>
    <w:rsid w:val="00D87AE3"/>
    <w:rsid w:val="1DE60431"/>
    <w:rsid w:val="3E2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771</Words>
  <Characters>4395</Characters>
  <Lines>36</Lines>
  <Paragraphs>10</Paragraphs>
  <TotalTime>14</TotalTime>
  <ScaleCrop>false</ScaleCrop>
  <LinksUpToDate>false</LinksUpToDate>
  <CharactersWithSpaces>5156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2023-03-02T08:37:00Z</dcterms:created>
  <dc:creator>User</dc:creator>
  <cp:lastModifiedBy>admin_pesochnoe</cp:lastModifiedBy>
  <dcterms:modified xsi:type="dcterms:W3CDTF">2023-03-31T10:15:55Z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E0DE648BEFFD46CEB33BCFE05B5454EC</vt:lpwstr>
  </property>
</Properties>
</file>