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B2" w:rsidRDefault="00DA0721">
      <w:pPr>
        <w:pStyle w:val="a4"/>
        <w:jc w:val="center"/>
        <w:rPr>
          <w:rStyle w:val="13pt"/>
          <w:rFonts w:eastAsia="Arial Unicode MS"/>
        </w:rPr>
      </w:pPr>
      <w:r>
        <w:rPr>
          <w:rStyle w:val="13pt"/>
          <w:rFonts w:eastAsia="Arial Unicode MS"/>
          <w:noProof/>
          <w:lang w:eastAsia="ru-RU"/>
        </w:rPr>
        <mc:AlternateContent>
          <mc:Choice Requires="wpg">
            <w:drawing>
              <wp:inline distT="0" distB="0" distL="0" distR="0">
                <wp:extent cx="781685" cy="967740"/>
                <wp:effectExtent l="0" t="0" r="0" b="0"/>
                <wp:docPr id="1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6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19" t="-15" r="-19" b="-15"/>
                        <a:stretch/>
                      </pic:blipFill>
                      <pic:spPr bwMode="auto">
                        <a:xfrm>
                          <a:off x="0" y="0"/>
                          <a:ext cx="781685" cy="96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1.5pt;height:76.2pt;" stroked="false">
                <v:path textboxrect="0,0,0,0"/>
                <v:imagedata r:id="rId10" o:title=""/>
              </v:shape>
            </w:pict>
          </mc:Fallback>
        </mc:AlternateContent>
      </w:r>
    </w:p>
    <w:p w:rsidR="009722B2" w:rsidRDefault="00DA0721">
      <w:pPr>
        <w:pStyle w:val="1b"/>
        <w:shd w:val="clear" w:color="auto" w:fill="auto"/>
        <w:spacing w:after="0" w:line="643" w:lineRule="exact"/>
      </w:pPr>
      <w:r>
        <w:rPr>
          <w:rStyle w:val="13pt"/>
          <w:b/>
          <w:sz w:val="28"/>
          <w:szCs w:val="28"/>
        </w:rPr>
        <w:t>РОССИЙСКАЯ ФЕДЕРАЦИЯ</w:t>
      </w:r>
    </w:p>
    <w:p w:rsidR="009722B2" w:rsidRDefault="00DA0721">
      <w:pPr>
        <w:pStyle w:val="1b"/>
        <w:shd w:val="clear" w:color="auto" w:fill="auto"/>
        <w:spacing w:after="0" w:line="240" w:lineRule="auto"/>
      </w:pPr>
      <w:r>
        <w:rPr>
          <w:rStyle w:val="13pt"/>
          <w:b/>
          <w:sz w:val="28"/>
          <w:szCs w:val="28"/>
        </w:rPr>
        <w:t>ОРЛОВСКАЯ ОБЛАСТЬ</w:t>
      </w:r>
    </w:p>
    <w:p w:rsidR="009722B2" w:rsidRDefault="00DA0721">
      <w:pPr>
        <w:pStyle w:val="1b"/>
        <w:shd w:val="clear" w:color="auto" w:fill="auto"/>
        <w:spacing w:after="0" w:line="643" w:lineRule="exact"/>
      </w:pPr>
      <w:r>
        <w:rPr>
          <w:rStyle w:val="13pt"/>
          <w:b/>
          <w:sz w:val="28"/>
          <w:szCs w:val="28"/>
        </w:rPr>
        <w:t xml:space="preserve"> </w:t>
      </w: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9722B2" w:rsidRDefault="00DA0721">
      <w:pPr>
        <w:keepNext/>
        <w:widowControl w:val="0"/>
        <w:spacing w:after="0" w:line="240" w:lineRule="auto"/>
        <w:jc w:val="center"/>
        <w:outlineLvl w:val="3"/>
        <w:rPr>
          <w:rStyle w:val="13pt"/>
          <w:b/>
          <w:sz w:val="36"/>
          <w:szCs w:val="36"/>
        </w:rPr>
      </w:pPr>
      <w:r w:rsidRPr="009A11D2">
        <w:rPr>
          <w:rFonts w:ascii="Times New Roman" w:hAnsi="Times New Roman"/>
          <w:spacing w:val="48"/>
          <w:sz w:val="36"/>
          <w:szCs w:val="36"/>
          <w:lang w:eastAsia="ar-SA"/>
        </w:rPr>
        <w:t>ПОСТАНОВЛЕНИЕ</w:t>
      </w:r>
    </w:p>
    <w:p w:rsidR="009722B2" w:rsidRDefault="009722B2">
      <w:pPr>
        <w:widowControl w:val="0"/>
        <w:spacing w:after="0" w:line="240" w:lineRule="auto"/>
        <w:jc w:val="center"/>
        <w:rPr>
          <w:rStyle w:val="13pt"/>
          <w:b/>
          <w:sz w:val="28"/>
          <w:szCs w:val="28"/>
          <w:lang w:eastAsia="ar-SA"/>
        </w:rPr>
      </w:pPr>
    </w:p>
    <w:p w:rsidR="009722B2" w:rsidRDefault="009722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722B2" w:rsidRDefault="00CD662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16 декабря</w:t>
      </w:r>
      <w:r w:rsidR="00DA0721">
        <w:rPr>
          <w:rFonts w:ascii="Times New Roman" w:hAnsi="Times New Roman"/>
          <w:sz w:val="28"/>
          <w:szCs w:val="28"/>
          <w:u w:val="single"/>
        </w:rPr>
        <w:t xml:space="preserve"> 2021 года  </w:t>
      </w:r>
      <w:r w:rsidR="00DA0721">
        <w:rPr>
          <w:rFonts w:ascii="Times New Roman" w:hAnsi="Times New Roman"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634</w:t>
      </w:r>
    </w:p>
    <w:p w:rsidR="009722B2" w:rsidRDefault="00DA0721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п. Верховье  </w:t>
      </w:r>
    </w:p>
    <w:p w:rsidR="009722B2" w:rsidRDefault="009722B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722B2" w:rsidRDefault="00DA0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9722B2" w:rsidRDefault="00DA072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системы комплексной безопасности в Верховском районе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9722B2" w:rsidRDefault="00DA0721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на 2022-2024 годы»</w:t>
      </w:r>
    </w:p>
    <w:p w:rsidR="009722B2" w:rsidRDefault="009722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22B2" w:rsidRDefault="009722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22B2" w:rsidRDefault="00DA07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Верховского района п о с т а н о в л я ю:</w:t>
      </w:r>
    </w:p>
    <w:p w:rsidR="009722B2" w:rsidRDefault="009722B2">
      <w:pPr>
        <w:pStyle w:val="MainStyl"/>
        <w:spacing w:line="100" w:lineRule="atLeast"/>
        <w:ind w:left="-284"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9722B2" w:rsidRDefault="00DA0721">
      <w:pPr>
        <w:spacing w:after="0" w:line="240" w:lineRule="auto"/>
        <w:ind w:firstLine="770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системы комплексной безопасности в Верховском районе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2022-2024 годы» согласно приложению, к настоящему постановлению.</w:t>
      </w:r>
    </w:p>
    <w:p w:rsidR="009722B2" w:rsidRDefault="00DA07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на официальном сайте администрации Верховского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adminverhov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9722B2" w:rsidRDefault="00DA07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</w:t>
      </w:r>
    </w:p>
    <w:p w:rsidR="009722B2" w:rsidRDefault="009722B2">
      <w:pPr>
        <w:pStyle w:val="afe"/>
        <w:jc w:val="left"/>
        <w:rPr>
          <w:rFonts w:ascii="Times New Roman" w:hAnsi="Times New Roman"/>
          <w:sz w:val="28"/>
          <w:szCs w:val="28"/>
        </w:rPr>
      </w:pPr>
    </w:p>
    <w:p w:rsidR="009722B2" w:rsidRDefault="009722B2">
      <w:pPr>
        <w:pStyle w:val="afe"/>
        <w:jc w:val="left"/>
        <w:rPr>
          <w:rFonts w:ascii="Times New Roman" w:hAnsi="Times New Roman"/>
          <w:sz w:val="28"/>
          <w:szCs w:val="28"/>
        </w:rPr>
      </w:pPr>
    </w:p>
    <w:p w:rsidR="009722B2" w:rsidRDefault="009722B2">
      <w:pPr>
        <w:pStyle w:val="afe"/>
        <w:jc w:val="left"/>
        <w:rPr>
          <w:rFonts w:ascii="Times New Roman" w:hAnsi="Times New Roman"/>
          <w:sz w:val="28"/>
          <w:szCs w:val="28"/>
        </w:rPr>
      </w:pPr>
    </w:p>
    <w:p w:rsidR="009722B2" w:rsidRDefault="009722B2">
      <w:pPr>
        <w:pStyle w:val="afe"/>
        <w:jc w:val="left"/>
        <w:rPr>
          <w:rFonts w:ascii="Times New Roman" w:hAnsi="Times New Roman"/>
          <w:sz w:val="28"/>
          <w:szCs w:val="28"/>
        </w:rPr>
      </w:pPr>
    </w:p>
    <w:p w:rsidR="009722B2" w:rsidRDefault="00DA0721">
      <w:pPr>
        <w:pStyle w:val="afe"/>
        <w:jc w:val="left"/>
      </w:pPr>
      <w:r>
        <w:rPr>
          <w:rFonts w:ascii="Times New Roman" w:hAnsi="Times New Roman"/>
          <w:b w:val="0"/>
          <w:sz w:val="28"/>
          <w:szCs w:val="28"/>
        </w:rPr>
        <w:t xml:space="preserve">Глава администрации </w:t>
      </w:r>
    </w:p>
    <w:p w:rsidR="009722B2" w:rsidRDefault="00DA0721">
      <w:pPr>
        <w:pStyle w:val="afe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Верховского района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     В.А.Гладских</w:t>
      </w:r>
    </w:p>
    <w:p w:rsidR="009722B2" w:rsidRDefault="009722B2">
      <w:pPr>
        <w:pStyle w:val="afe"/>
        <w:ind w:left="-284"/>
        <w:jc w:val="both"/>
        <w:rPr>
          <w:rFonts w:ascii="Times New Roman" w:hAnsi="Times New Roman"/>
          <w:b w:val="0"/>
          <w:sz w:val="28"/>
          <w:szCs w:val="28"/>
        </w:rPr>
      </w:pPr>
    </w:p>
    <w:p w:rsidR="009722B2" w:rsidRDefault="009722B2">
      <w:pPr>
        <w:pStyle w:val="afe"/>
        <w:ind w:left="-284"/>
        <w:jc w:val="both"/>
        <w:rPr>
          <w:rFonts w:ascii="Times New Roman" w:hAnsi="Times New Roman"/>
          <w:b w:val="0"/>
          <w:sz w:val="28"/>
          <w:szCs w:val="28"/>
        </w:rPr>
      </w:pPr>
    </w:p>
    <w:p w:rsidR="009722B2" w:rsidRDefault="009722B2">
      <w:pPr>
        <w:pStyle w:val="4"/>
        <w:keepNext w:val="0"/>
        <w:widowControl w:val="0"/>
        <w:numPr>
          <w:ilvl w:val="0"/>
          <w:numId w:val="0"/>
        </w:numPr>
        <w:ind w:left="5170"/>
        <w:rPr>
          <w:b w:val="0"/>
          <w:szCs w:val="28"/>
        </w:rPr>
      </w:pPr>
    </w:p>
    <w:p w:rsidR="009722B2" w:rsidRDefault="00DA0721">
      <w:pPr>
        <w:pStyle w:val="4"/>
        <w:keepNext w:val="0"/>
        <w:widowControl w:val="0"/>
        <w:numPr>
          <w:ilvl w:val="0"/>
          <w:numId w:val="0"/>
        </w:numPr>
        <w:ind w:left="5170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9722B2" w:rsidRDefault="00DA0721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722B2" w:rsidRDefault="00DA0721">
      <w:pPr>
        <w:widowControl w:val="0"/>
        <w:spacing w:after="0" w:line="240" w:lineRule="auto"/>
        <w:ind w:left="5170"/>
        <w:jc w:val="center"/>
      </w:pPr>
      <w:r>
        <w:rPr>
          <w:rFonts w:ascii="Times New Roman" w:hAnsi="Times New Roman"/>
          <w:sz w:val="28"/>
          <w:szCs w:val="28"/>
        </w:rPr>
        <w:t>Верховского района</w:t>
      </w:r>
    </w:p>
    <w:p w:rsidR="009722B2" w:rsidRDefault="00DA0721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D662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декабря 2021 г. № </w:t>
      </w:r>
      <w:r w:rsidR="00CD6629">
        <w:rPr>
          <w:rFonts w:ascii="Times New Roman" w:hAnsi="Times New Roman"/>
          <w:sz w:val="28"/>
          <w:szCs w:val="28"/>
        </w:rPr>
        <w:t>634</w:t>
      </w:r>
      <w:bookmarkStart w:id="0" w:name="_GoBack"/>
      <w:bookmarkEnd w:id="0"/>
    </w:p>
    <w:p w:rsidR="009722B2" w:rsidRDefault="009722B2">
      <w:pPr>
        <w:pStyle w:val="headertext"/>
        <w:spacing w:before="0" w:after="0"/>
        <w:jc w:val="right"/>
        <w:rPr>
          <w:color w:val="000000"/>
          <w:sz w:val="28"/>
          <w:szCs w:val="28"/>
        </w:rPr>
      </w:pPr>
    </w:p>
    <w:p w:rsidR="009722B2" w:rsidRDefault="00DA0721">
      <w:pPr>
        <w:pStyle w:val="afe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Муниципальная программа</w:t>
      </w:r>
    </w:p>
    <w:p w:rsidR="009722B2" w:rsidRDefault="00DA0721">
      <w:pPr>
        <w:pStyle w:val="afe"/>
        <w:rPr>
          <w:rFonts w:ascii="Times New Roman" w:hAnsi="Times New Roman"/>
          <w:b w:val="0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Развитие системы комплексной безопасности в Верховском районе</w:t>
      </w:r>
      <w:r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 xml:space="preserve"> </w:t>
      </w:r>
    </w:p>
    <w:p w:rsidR="009722B2" w:rsidRDefault="00DA0721">
      <w:pPr>
        <w:pStyle w:val="afe"/>
        <w:rPr>
          <w:rFonts w:ascii="Times New Roman" w:hAnsi="Times New Roman"/>
          <w:b w:val="0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на 2022-2024 годы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9722B2" w:rsidRDefault="009722B2">
      <w:pPr>
        <w:pStyle w:val="afe"/>
        <w:rPr>
          <w:rFonts w:ascii="Times New Roman" w:hAnsi="Times New Roman"/>
          <w:b w:val="0"/>
          <w:bCs/>
          <w:iCs/>
          <w:color w:val="000000"/>
          <w:sz w:val="28"/>
          <w:szCs w:val="28"/>
        </w:rPr>
      </w:pPr>
    </w:p>
    <w:p w:rsidR="009722B2" w:rsidRDefault="00DA0721">
      <w:pPr>
        <w:pStyle w:val="af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Паспорт Программы</w:t>
      </w:r>
    </w:p>
    <w:p w:rsidR="009722B2" w:rsidRDefault="009722B2">
      <w:pPr>
        <w:pStyle w:val="afe"/>
        <w:rPr>
          <w:rFonts w:ascii="Times New Roman" w:hAnsi="Times New Roman"/>
          <w:b w:val="0"/>
          <w:sz w:val="28"/>
          <w:szCs w:val="28"/>
        </w:rPr>
      </w:pPr>
    </w:p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096"/>
        <w:gridCol w:w="6120"/>
      </w:tblGrid>
      <w:tr w:rsidR="009722B2">
        <w:trPr>
          <w:trHeight w:val="722"/>
          <w:jc w:val="center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after="0"/>
              <w:ind w:left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after="0"/>
            </w:pPr>
            <w:r>
              <w:rPr>
                <w:sz w:val="27"/>
                <w:szCs w:val="27"/>
              </w:rPr>
              <w:t xml:space="preserve">Муниципальная программа </w:t>
            </w:r>
            <w:r>
              <w:rPr>
                <w:bCs/>
                <w:iCs/>
                <w:color w:val="000000"/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Развитие системы комплексной безопасности в Верховском районе на 2022-2024 годы»</w:t>
            </w:r>
            <w:r>
              <w:rPr>
                <w:b/>
                <w:bCs/>
                <w:iCs/>
                <w:color w:val="00000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(далее - Программа).</w:t>
            </w:r>
          </w:p>
        </w:tc>
      </w:tr>
      <w:tr w:rsidR="009722B2">
        <w:trPr>
          <w:trHeight w:val="633"/>
          <w:jc w:val="center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after="0"/>
              <w:ind w:left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Верховского района   (специалист, уполномоченный на решение задач в области ГО и ЧС – главный специалист по ГО и ЧС)</w:t>
            </w:r>
          </w:p>
        </w:tc>
      </w:tr>
      <w:tr w:rsidR="009722B2">
        <w:trPr>
          <w:trHeight w:val="353"/>
          <w:jc w:val="center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after="0"/>
              <w:ind w:left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Соисполнители 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предусмотрены</w:t>
            </w:r>
          </w:p>
        </w:tc>
      </w:tr>
      <w:tr w:rsidR="009722B2">
        <w:trPr>
          <w:trHeight w:val="362"/>
          <w:jc w:val="center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after="0"/>
              <w:ind w:left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предусмотрены</w:t>
            </w:r>
          </w:p>
        </w:tc>
      </w:tr>
      <w:tr w:rsidR="009722B2">
        <w:trPr>
          <w:trHeight w:val="1890"/>
          <w:jc w:val="center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before="0"/>
              <w:ind w:left="65"/>
            </w:pPr>
            <w:r>
              <w:rPr>
                <w:sz w:val="27"/>
                <w:szCs w:val="27"/>
              </w:rPr>
              <w:t xml:space="preserve">Цели муниципальной Программы   </w:t>
            </w:r>
          </w:p>
          <w:p w:rsidR="009722B2" w:rsidRDefault="009722B2">
            <w:pPr>
              <w:pStyle w:val="tekstob"/>
              <w:ind w:left="65"/>
              <w:jc w:val="both"/>
              <w:rPr>
                <w:sz w:val="27"/>
                <w:szCs w:val="27"/>
              </w:rPr>
            </w:pPr>
          </w:p>
          <w:p w:rsidR="009722B2" w:rsidRDefault="009722B2">
            <w:pPr>
              <w:pStyle w:val="tekstob"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Основной целью Программы является создание условий, направленных на повышение эффективности деятельности органов местного самоуправления по защите населения и объектов обеспечения жизнедеятельности от угроз природного и техногенного характера, обеспечению безопасности людей на водных объектах, пожарной безопасности, а также обеспечению необходимых условий для безопасной жизнедеятельности и устойчивого социально-экономического развития Верховского района Орловской области.</w:t>
            </w:r>
          </w:p>
        </w:tc>
      </w:tr>
      <w:tr w:rsidR="009722B2">
        <w:trPr>
          <w:trHeight w:val="721"/>
          <w:jc w:val="center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after="0"/>
              <w:ind w:left="6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 муниципальной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 Обеспечение и поддержание в готовности органов управления, сил и средств к экстренному реагированию и оперативным действиям по предупреждению и ликвидации ЧС.</w:t>
            </w:r>
          </w:p>
          <w:p w:rsidR="009722B2" w:rsidRDefault="00DA072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>2. Разработка и осуществление комплекса превентивных мероприятий, направленных на смягчение последствий ЧС для населения и объектов экономики.</w:t>
            </w:r>
          </w:p>
          <w:p w:rsidR="009722B2" w:rsidRDefault="00DA07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 Развитие системы мониторинга, прогнозирования и оценки последствий ЧС.</w:t>
            </w:r>
          </w:p>
          <w:p w:rsidR="009722B2" w:rsidRDefault="00DA072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4. Создание запасов материальных, технических и иных средств.</w:t>
            </w:r>
          </w:p>
          <w:p w:rsidR="009722B2" w:rsidRDefault="00DA07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 Обеспечение мер по пожарной безопасности и безопасности людей на водных объектах.</w:t>
            </w:r>
          </w:p>
          <w:p w:rsidR="009722B2" w:rsidRDefault="00DA07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 Подготовка населения к действиям при возникновении ЧС.</w:t>
            </w:r>
          </w:p>
        </w:tc>
      </w:tr>
      <w:tr w:rsidR="009722B2">
        <w:trPr>
          <w:trHeight w:val="1802"/>
          <w:jc w:val="center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Целевые индикаторы и  показатели муниципальной Программы</w:t>
            </w:r>
          </w:p>
          <w:p w:rsidR="009722B2" w:rsidRDefault="009722B2">
            <w:pPr>
              <w:pStyle w:val="tekstob"/>
              <w:spacing w:before="0" w:after="0"/>
              <w:ind w:left="95"/>
              <w:jc w:val="both"/>
              <w:rPr>
                <w:sz w:val="27"/>
                <w:szCs w:val="27"/>
              </w:rPr>
            </w:pPr>
          </w:p>
          <w:p w:rsidR="009722B2" w:rsidRDefault="009722B2">
            <w:pPr>
              <w:pStyle w:val="tekstob"/>
              <w:spacing w:before="0" w:after="0"/>
              <w:ind w:left="95"/>
              <w:jc w:val="both"/>
              <w:rPr>
                <w:sz w:val="27"/>
                <w:szCs w:val="27"/>
                <w:u w:val="single"/>
              </w:rPr>
            </w:pPr>
          </w:p>
          <w:p w:rsidR="009722B2" w:rsidRDefault="009722B2">
            <w:pPr>
              <w:pStyle w:val="tekstob"/>
              <w:spacing w:before="0" w:after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pStyle w:val="aff1"/>
              <w:ind w:left="0" w:firstLine="162"/>
              <w:jc w:val="both"/>
            </w:pPr>
            <w:r>
              <w:rPr>
                <w:sz w:val="27"/>
                <w:szCs w:val="27"/>
              </w:rPr>
              <w:t xml:space="preserve">В ходе реализации Программы ожидаются следующие результаты: </w:t>
            </w:r>
          </w:p>
          <w:p w:rsidR="009722B2" w:rsidRDefault="00DA0721">
            <w:pPr>
              <w:pStyle w:val="aff1"/>
              <w:ind w:left="0" w:firstLine="162"/>
              <w:jc w:val="both"/>
            </w:pPr>
            <w:r>
              <w:rPr>
                <w:sz w:val="27"/>
                <w:szCs w:val="27"/>
              </w:rPr>
              <w:t xml:space="preserve">повышение уровня информированности населения о чрезвычайных ситуациях и порядке действий при их возникновении; </w:t>
            </w:r>
          </w:p>
          <w:p w:rsidR="009722B2" w:rsidRDefault="00DA0721">
            <w:pPr>
              <w:pStyle w:val="aff1"/>
              <w:ind w:left="0" w:firstLine="162"/>
              <w:jc w:val="both"/>
            </w:pPr>
            <w:r>
              <w:rPr>
                <w:sz w:val="27"/>
                <w:szCs w:val="27"/>
              </w:rPr>
              <w:t>повышение уровня подготовки по вопросам безопасности жизнедеятельности населения Верховского района, органов управления и сил Верховского районного звена Орловской территориальной подсистемы Единой системы предупреждения и ликвидации чрезвычайных ситуаций (далее – РЗ ОТП РСЧС);</w:t>
            </w:r>
          </w:p>
          <w:p w:rsidR="009722B2" w:rsidRDefault="00DA0721">
            <w:pPr>
              <w:pStyle w:val="aff1"/>
              <w:ind w:left="0" w:firstLine="162"/>
              <w:jc w:val="both"/>
            </w:pPr>
            <w:r>
              <w:rPr>
                <w:sz w:val="27"/>
                <w:szCs w:val="27"/>
              </w:rPr>
              <w:t>сокращение затрат и сроков на ликвидацию ЧС;</w:t>
            </w:r>
          </w:p>
          <w:p w:rsidR="009722B2" w:rsidRDefault="00DA0721">
            <w:pPr>
              <w:pStyle w:val="aff1"/>
              <w:ind w:left="0" w:firstLine="162"/>
              <w:jc w:val="both"/>
            </w:pPr>
            <w:r>
              <w:rPr>
                <w:sz w:val="27"/>
                <w:szCs w:val="27"/>
              </w:rPr>
              <w:t>на 20-30% уменьшить потери населения от ЧС природного и техногенного характера, а в некоторых случаях – полностью избежать их;</w:t>
            </w:r>
          </w:p>
          <w:p w:rsidR="009722B2" w:rsidRDefault="00DA0721">
            <w:pPr>
              <w:pStyle w:val="aff1"/>
              <w:ind w:left="0" w:firstLine="16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уровня защищенности личности и населения района в целом;</w:t>
            </w:r>
          </w:p>
          <w:p w:rsidR="009722B2" w:rsidRDefault="00DA0721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 Ежегодное снижение уровня гибели и травматизма людей в чрезвычайных ситуациях и на пожарах до 5%;</w:t>
            </w:r>
          </w:p>
          <w:p w:rsidR="009722B2" w:rsidRDefault="00DA0721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 Ежегодное снижение размеров материальных потерь от чрезвычайных ситуаций и пожаров до 5%;</w:t>
            </w:r>
          </w:p>
          <w:p w:rsidR="009722B2" w:rsidRDefault="00DA0721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3) Ежегодное снижение гибели людей на водных объектах на 3%;</w:t>
            </w:r>
          </w:p>
          <w:p w:rsidR="009722B2" w:rsidRDefault="00DA0721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4) Увеличение оснащённости пляжей (мест массового отдыха населения на воде) информационными стендами по приёмам спасания на воде с 1 до 5.</w:t>
            </w:r>
          </w:p>
        </w:tc>
      </w:tr>
      <w:tr w:rsidR="009722B2">
        <w:trPr>
          <w:trHeight w:val="734"/>
          <w:jc w:val="center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after="0"/>
              <w:ind w:left="9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after="0"/>
              <w:jc w:val="both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>2022-2024 годы (этапы не выделяются)</w:t>
            </w:r>
          </w:p>
        </w:tc>
      </w:tr>
      <w:tr w:rsidR="009722B2">
        <w:trPr>
          <w:trHeight w:val="3417"/>
          <w:jc w:val="center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before="0" w:after="0"/>
              <w:ind w:left="9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Объемы бюджетных ассигнований на реализацию муниципальной Программы</w:t>
            </w:r>
          </w:p>
          <w:p w:rsidR="009722B2" w:rsidRDefault="009722B2">
            <w:pPr>
              <w:pStyle w:val="tekstob"/>
              <w:spacing w:before="0" w:after="0"/>
              <w:ind w:left="95"/>
              <w:jc w:val="both"/>
              <w:rPr>
                <w:sz w:val="27"/>
                <w:szCs w:val="27"/>
                <w:u w:val="single"/>
              </w:rPr>
            </w:pPr>
          </w:p>
          <w:p w:rsidR="009722B2" w:rsidRDefault="009722B2">
            <w:pPr>
              <w:pStyle w:val="tekstob"/>
              <w:spacing w:before="0" w:after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pStyle w:val="aff6"/>
            </w:pPr>
            <w:r>
              <w:rPr>
                <w:rFonts w:ascii="Times New Roman" w:hAnsi="Times New Roman"/>
                <w:sz w:val="27"/>
                <w:szCs w:val="27"/>
              </w:rPr>
              <w:t>Общий объем средств, предусмотренных на реализацию муниципальной Программы – 141000 рублей, в том числе:</w:t>
            </w:r>
          </w:p>
          <w:p w:rsidR="009722B2" w:rsidRDefault="00DA0721">
            <w:pPr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2022 год – 47000 рублей</w:t>
            </w:r>
          </w:p>
          <w:p w:rsidR="009722B2" w:rsidRDefault="00DA0721">
            <w:pPr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2023 год – 47000 рублей</w:t>
            </w:r>
          </w:p>
          <w:p w:rsidR="009722B2" w:rsidRDefault="00DA0721">
            <w:pPr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2024 год – 47000 рублей</w:t>
            </w:r>
          </w:p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Финансирование осуществляется за счёт средств районного бюджета.</w:t>
            </w:r>
          </w:p>
          <w:p w:rsidR="009722B2" w:rsidRDefault="00DA0721">
            <w:pPr>
              <w:pStyle w:val="tekstob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расходов на выполнение мероприятий Программа ежегодно уточняется в процессе исполнения годового районного бюджета.</w:t>
            </w:r>
          </w:p>
        </w:tc>
      </w:tr>
      <w:tr w:rsidR="009722B2">
        <w:trPr>
          <w:trHeight w:val="615"/>
          <w:jc w:val="center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pStyle w:val="tekstob"/>
              <w:spacing w:before="0" w:after="0"/>
              <w:ind w:left="9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Ожидаемые  результаты реализации муниципальной Программы</w:t>
            </w:r>
          </w:p>
          <w:p w:rsidR="009722B2" w:rsidRDefault="009722B2">
            <w:pPr>
              <w:pStyle w:val="tekstob"/>
              <w:spacing w:before="0" w:after="0"/>
              <w:ind w:left="95" w:firstLine="708"/>
              <w:jc w:val="both"/>
              <w:rPr>
                <w:sz w:val="27"/>
                <w:szCs w:val="27"/>
              </w:rPr>
            </w:pPr>
          </w:p>
          <w:p w:rsidR="009722B2" w:rsidRDefault="009722B2">
            <w:pPr>
              <w:pStyle w:val="tekstob"/>
              <w:spacing w:before="0" w:after="0"/>
              <w:ind w:left="95" w:firstLine="708"/>
              <w:jc w:val="both"/>
              <w:rPr>
                <w:sz w:val="27"/>
                <w:szCs w:val="27"/>
              </w:rPr>
            </w:pPr>
          </w:p>
          <w:p w:rsidR="009722B2" w:rsidRDefault="009722B2">
            <w:pPr>
              <w:pStyle w:val="tekstob"/>
              <w:spacing w:before="0" w:after="0"/>
              <w:ind w:left="95" w:firstLine="708"/>
              <w:jc w:val="both"/>
              <w:rPr>
                <w:sz w:val="27"/>
                <w:szCs w:val="27"/>
              </w:rPr>
            </w:pPr>
          </w:p>
          <w:p w:rsidR="009722B2" w:rsidRDefault="009722B2">
            <w:pPr>
              <w:pStyle w:val="tekstob"/>
              <w:spacing w:before="0" w:after="0"/>
              <w:jc w:val="both"/>
              <w:rPr>
                <w:sz w:val="27"/>
                <w:szCs w:val="27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>Реализация Программы позволит:</w:t>
            </w:r>
          </w:p>
          <w:p w:rsidR="009722B2" w:rsidRDefault="00DA072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>- снизить количество ЧС  и материальный ущерб от них;</w:t>
            </w:r>
          </w:p>
          <w:p w:rsidR="009722B2" w:rsidRDefault="00DA072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 - сократить затраты и время на ликвидацию ЧС (происшествие);</w:t>
            </w:r>
          </w:p>
          <w:p w:rsidR="009722B2" w:rsidRDefault="00DA072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>- совершенствовать подготовку по вопросам ГО, предупреждения и защиты в ЧС всех категорий обучаемых;</w:t>
            </w:r>
          </w:p>
          <w:p w:rsidR="009722B2" w:rsidRDefault="00DA07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снизить количество погибших и пострадавших, снизить ущерб от пожаров;</w:t>
            </w:r>
          </w:p>
          <w:p w:rsidR="009722B2" w:rsidRDefault="00DA07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обеспечить безопасность людей на водных объектах;</w:t>
            </w:r>
          </w:p>
          <w:p w:rsidR="009722B2" w:rsidRDefault="00DA07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повысить уровень информированности населения о чрезвычайных ситуациях и порядке действий при их возникновении;</w:t>
            </w:r>
          </w:p>
          <w:p w:rsidR="009722B2" w:rsidRDefault="00DA07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повысить уровень подготовки руководящего состава РЗ ОТП РСЧС и личного состава сил РЗ ОТП РСЧС по вопросам ГО и ЧС</w:t>
            </w:r>
          </w:p>
        </w:tc>
      </w:tr>
    </w:tbl>
    <w:p w:rsidR="009722B2" w:rsidRDefault="009722B2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9722B2" w:rsidRDefault="009722B2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9722B2" w:rsidRDefault="009722B2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9722B2" w:rsidRDefault="009722B2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9722B2" w:rsidRDefault="00DA0721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br w:type="page"/>
      </w:r>
    </w:p>
    <w:p w:rsidR="009722B2" w:rsidRDefault="00DA0721">
      <w:pPr>
        <w:spacing w:before="240" w:after="2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1. Обоснование необходимости разработки Программы</w:t>
      </w:r>
    </w:p>
    <w:p w:rsidR="009722B2" w:rsidRDefault="00DA0721">
      <w:pPr>
        <w:pStyle w:val="aff1"/>
        <w:ind w:left="0" w:firstLine="567"/>
        <w:jc w:val="both"/>
      </w:pPr>
      <w:r>
        <w:rPr>
          <w:sz w:val="27"/>
          <w:szCs w:val="27"/>
        </w:rPr>
        <w:t>Повышение эффективности системы защиты населения и территории от чрезвычайных ситуаций природного и техногенного характера является одним из основных направлений деятельности администрации Верховского района.</w:t>
      </w:r>
    </w:p>
    <w:p w:rsidR="009722B2" w:rsidRDefault="00DA0721">
      <w:pPr>
        <w:pStyle w:val="aff1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количество опасных природных явлений и крупных техногенных катастроф ежегодно растет.</w:t>
      </w:r>
    </w:p>
    <w:p w:rsidR="009722B2" w:rsidRDefault="00DA0721">
      <w:pPr>
        <w:pStyle w:val="aff1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Риски природных и техногенных чрезвычайных ситуаций, возникающие в процессе глобального изменения климата, хозяйственной деятельности или в результате крупных аварий и катастроф, несут угрозу для населения и объектов экономики.</w:t>
      </w:r>
    </w:p>
    <w:p w:rsidR="009722B2" w:rsidRDefault="00DA0721">
      <w:pPr>
        <w:pStyle w:val="aff1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Разработка муниципальной Программы </w:t>
      </w:r>
      <w:r>
        <w:rPr>
          <w:bCs/>
          <w:iCs/>
          <w:color w:val="000000"/>
          <w:sz w:val="27"/>
          <w:szCs w:val="27"/>
        </w:rPr>
        <w:t>«</w:t>
      </w:r>
      <w:r>
        <w:rPr>
          <w:sz w:val="27"/>
          <w:szCs w:val="27"/>
        </w:rPr>
        <w:t>Развитие системы комплексной безопасности в Верховском районе на 2022-2024 годы» является одним из элементов решения задач предупреждения и ликвидации чрезвычайных ситуаций, обеспечения пожарной безопасности и безопасности людей на водных объектах, гражданской обороны.</w:t>
      </w:r>
    </w:p>
    <w:p w:rsidR="009722B2" w:rsidRDefault="00DA0721">
      <w:pPr>
        <w:pStyle w:val="aff1"/>
        <w:ind w:left="0" w:firstLine="567"/>
        <w:jc w:val="both"/>
      </w:pPr>
      <w:r>
        <w:rPr>
          <w:sz w:val="27"/>
          <w:szCs w:val="27"/>
        </w:rPr>
        <w:t>Программа определяет основы организации обеспечения безопасности людей на водных объектах на территории Верховского района, участие в предупреждении и ликвидации последствий чрезвычайных ситуаций на территории района, 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а также в минимизации и  ликвидации последствий чрезвычайных ситуаций на территории Верховского района.</w:t>
      </w:r>
    </w:p>
    <w:p w:rsidR="009722B2" w:rsidRDefault="00DA0721">
      <w:pPr>
        <w:pStyle w:val="aff1"/>
        <w:ind w:left="0" w:firstLine="567"/>
        <w:jc w:val="both"/>
      </w:pPr>
      <w:r>
        <w:rPr>
          <w:sz w:val="27"/>
          <w:szCs w:val="27"/>
        </w:rPr>
        <w:t>Решение этих сложных задач с учетом реально сложившейся экономической обстановки на территории муниципального района, социально-экономического положения населения возможно только программными методами при сосредоточении основных усилий на решении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снижения материальных потерь и размеров ущерба окружающей среде.</w:t>
      </w:r>
    </w:p>
    <w:p w:rsidR="009722B2" w:rsidRDefault="009722B2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9722B2" w:rsidRDefault="00DA072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2. Приоритеты реализуемой в Верховском районе политики </w:t>
      </w:r>
    </w:p>
    <w:p w:rsidR="009722B2" w:rsidRDefault="00DA072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сфере развития защиты населения от чрезвычайных ситуаций, </w:t>
      </w:r>
    </w:p>
    <w:p w:rsidR="009722B2" w:rsidRDefault="00DA072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обеспечения пожарной безопасности и безопасности людей на водных объектах, основные цели и задачи Программы</w:t>
      </w:r>
    </w:p>
    <w:p w:rsidR="009722B2" w:rsidRDefault="009722B2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722B2" w:rsidRDefault="00DA07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 числу приоритетных направлений на территории Верховского района относятся: </w:t>
      </w:r>
    </w:p>
    <w:p w:rsidR="009722B2" w:rsidRDefault="00DA0721">
      <w:pPr>
        <w:spacing w:after="0" w:line="240" w:lineRule="auto"/>
        <w:ind w:firstLine="7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сокращение числа чрезвычайных ситуаций природного и техногенного характера, пожаров и происшествий на воде;</w:t>
      </w:r>
    </w:p>
    <w:p w:rsidR="009722B2" w:rsidRDefault="00DA0721">
      <w:pPr>
        <w:spacing w:after="0" w:line="240" w:lineRule="auto"/>
        <w:ind w:firstLine="7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предупреждение гибели людей при чрезвычайных ситуациях природного и техногенного характера;</w:t>
      </w:r>
    </w:p>
    <w:p w:rsidR="009722B2" w:rsidRDefault="00DA0721">
      <w:pPr>
        <w:spacing w:after="0" w:line="240" w:lineRule="auto"/>
        <w:ind w:firstLine="7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минимизация материального и социально-экономического ущерба.</w:t>
      </w:r>
    </w:p>
    <w:p w:rsidR="009722B2" w:rsidRDefault="00DA0721">
      <w:pPr>
        <w:pStyle w:val="aff1"/>
        <w:ind w:left="0" w:firstLine="770"/>
        <w:jc w:val="both"/>
      </w:pPr>
      <w:r>
        <w:rPr>
          <w:sz w:val="27"/>
          <w:szCs w:val="27"/>
        </w:rPr>
        <w:lastRenderedPageBreak/>
        <w:t>Основной целью Программы является обеспечение надежной защиты населения и территории района от последствий ЧС природного и техногенного характера, осуществление мероприятий ГО, защита жизни и здоровья, предотвращение гибели людей и минимизация возможного ущерба. Программа предусматривает решение следующих задач:</w:t>
      </w:r>
    </w:p>
    <w:p w:rsidR="009722B2" w:rsidRDefault="00DA0721">
      <w:pPr>
        <w:pStyle w:val="aff1"/>
        <w:ind w:left="0" w:firstLine="770"/>
        <w:jc w:val="both"/>
        <w:rPr>
          <w:sz w:val="27"/>
          <w:szCs w:val="27"/>
        </w:rPr>
      </w:pPr>
      <w:r>
        <w:rPr>
          <w:sz w:val="27"/>
          <w:szCs w:val="27"/>
        </w:rPr>
        <w:t>- развитие системы мониторинга, прогнозирования возникновения и оценки последствий ЧС различного характера;</w:t>
      </w:r>
    </w:p>
    <w:p w:rsidR="009722B2" w:rsidRDefault="00DA0721">
      <w:pPr>
        <w:pStyle w:val="aff1"/>
        <w:ind w:left="0" w:firstLine="770"/>
        <w:jc w:val="both"/>
        <w:rPr>
          <w:sz w:val="27"/>
          <w:szCs w:val="27"/>
        </w:rPr>
      </w:pPr>
      <w:r>
        <w:rPr>
          <w:sz w:val="27"/>
          <w:szCs w:val="27"/>
        </w:rPr>
        <w:t>- поддержание в постоянной готовности к использованию системы оповещения населения об опасностях;</w:t>
      </w:r>
    </w:p>
    <w:p w:rsidR="009722B2" w:rsidRDefault="00DA0721">
      <w:pPr>
        <w:pStyle w:val="aff1"/>
        <w:ind w:left="0" w:firstLine="770"/>
        <w:jc w:val="both"/>
        <w:rPr>
          <w:sz w:val="27"/>
          <w:szCs w:val="27"/>
        </w:rPr>
      </w:pPr>
      <w:r>
        <w:rPr>
          <w:sz w:val="27"/>
          <w:szCs w:val="27"/>
        </w:rPr>
        <w:t>- подготовка населения к действиям в условиях ЧС и защите от ее последствий;</w:t>
      </w:r>
    </w:p>
    <w:p w:rsidR="009722B2" w:rsidRDefault="00DA0721">
      <w:pPr>
        <w:pStyle w:val="aff1"/>
        <w:ind w:left="0" w:firstLine="770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и поддержание в постоянной готовности органов управления, сил и средств к экстренному реагированию и оперативным действиям по предупреждению и ликвидации ЧС;</w:t>
      </w:r>
    </w:p>
    <w:p w:rsidR="009722B2" w:rsidRDefault="00DA0721">
      <w:pPr>
        <w:pStyle w:val="aff1"/>
        <w:ind w:left="0" w:firstLine="770"/>
        <w:jc w:val="both"/>
        <w:rPr>
          <w:sz w:val="27"/>
          <w:szCs w:val="27"/>
        </w:rPr>
      </w:pPr>
      <w:r>
        <w:rPr>
          <w:sz w:val="27"/>
          <w:szCs w:val="27"/>
        </w:rPr>
        <w:t>- разработка и осуществление комплекса превентивных мероприятий, направленных на смягчение последствий ЧС для населения и объектов экономики;</w:t>
      </w:r>
    </w:p>
    <w:p w:rsidR="009722B2" w:rsidRDefault="009722B2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</w:p>
    <w:p w:rsidR="009722B2" w:rsidRDefault="00DA072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3. Этапы и сроки реализации Программы</w:t>
      </w:r>
    </w:p>
    <w:p w:rsidR="009722B2" w:rsidRDefault="009722B2">
      <w:pPr>
        <w:spacing w:after="0" w:line="240" w:lineRule="auto"/>
        <w:ind w:firstLine="660"/>
        <w:jc w:val="both"/>
        <w:rPr>
          <w:rFonts w:ascii="Times New Roman" w:hAnsi="Times New Roman"/>
          <w:b/>
          <w:sz w:val="27"/>
          <w:szCs w:val="27"/>
        </w:rPr>
      </w:pPr>
    </w:p>
    <w:p w:rsidR="009722B2" w:rsidRDefault="00DA0721">
      <w:pPr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Программа реализуется в период с 2022 по 2024 год без разбивки на этапы.</w:t>
      </w:r>
    </w:p>
    <w:p w:rsidR="009722B2" w:rsidRDefault="009722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722B2" w:rsidRDefault="00DA072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4. Перечень основных мероприятий Программы</w:t>
      </w:r>
    </w:p>
    <w:p w:rsidR="009722B2" w:rsidRDefault="009722B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9722B2" w:rsidRDefault="00DA07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4.1. </w:t>
      </w:r>
      <w:r>
        <w:rPr>
          <w:rStyle w:val="afc"/>
          <w:rFonts w:ascii="Times New Roman" w:hAnsi="Times New Roman"/>
          <w:b w:val="0"/>
          <w:bCs/>
          <w:color w:val="000000"/>
          <w:sz w:val="27"/>
          <w:szCs w:val="27"/>
        </w:rPr>
        <w:t>Развитие органов управления, сил и средств предупреждения и ликвидации чрезвычайных ситуаций, и гражданской обороны:</w:t>
      </w:r>
    </w:p>
    <w:p w:rsidR="009722B2" w:rsidRDefault="00DA07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основное мероприятие включает в себя создание и оснащение формирований; подготовку органов управления и сил к действиям по предназначению</w:t>
      </w:r>
    </w:p>
    <w:p w:rsidR="009722B2" w:rsidRDefault="00DA07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4.2. </w:t>
      </w:r>
      <w:r>
        <w:rPr>
          <w:rStyle w:val="afc"/>
          <w:rFonts w:ascii="Times New Roman" w:hAnsi="Times New Roman"/>
          <w:b w:val="0"/>
          <w:bCs/>
          <w:color w:val="000000"/>
          <w:sz w:val="27"/>
          <w:szCs w:val="27"/>
        </w:rPr>
        <w:t>Создание и накопление запасов резерва материальных ресурсов, предназначенных для защиты населения от чрезвычайных ситуации и гражданской обороны</w:t>
      </w:r>
      <w:r>
        <w:rPr>
          <w:rFonts w:ascii="Times New Roman" w:hAnsi="Times New Roman"/>
          <w:sz w:val="27"/>
          <w:szCs w:val="27"/>
        </w:rPr>
        <w:t xml:space="preserve">: </w:t>
      </w:r>
    </w:p>
    <w:p w:rsidR="009722B2" w:rsidRDefault="00DA07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основное мероприятие включает в себя приобретение инженерно-технических средств и материалов для ликвидации последствий ЧС (происшествий).</w:t>
      </w:r>
    </w:p>
    <w:p w:rsidR="009722B2" w:rsidRDefault="00DA07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4.3. </w:t>
      </w:r>
      <w:r>
        <w:rPr>
          <w:rStyle w:val="afc"/>
          <w:rFonts w:ascii="Times New Roman" w:hAnsi="Times New Roman"/>
          <w:b w:val="0"/>
          <w:bCs/>
          <w:color w:val="000000"/>
          <w:sz w:val="27"/>
          <w:szCs w:val="27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/>
          <w:sz w:val="27"/>
          <w:szCs w:val="27"/>
        </w:rPr>
        <w:t xml:space="preserve">: </w:t>
      </w:r>
    </w:p>
    <w:p w:rsidR="009722B2" w:rsidRDefault="00DA07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- основное мероприятие включает в себя организацию и проведение месячников безопасности людей на водных объектах, информирование население о правилах поведения на водоёмах в СМИ, изготовление (приобретение) информационных знаков, стендов.</w:t>
      </w:r>
    </w:p>
    <w:p w:rsidR="009722B2" w:rsidRDefault="00DA07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</w:rPr>
        <w:t>4.4.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Style w:val="afc"/>
          <w:rFonts w:ascii="Times New Roman" w:hAnsi="Times New Roman"/>
          <w:b w:val="0"/>
          <w:bCs/>
          <w:color w:val="000000"/>
          <w:sz w:val="27"/>
          <w:szCs w:val="27"/>
        </w:rPr>
        <w:t>Осуществление мероприятий по обеспечению пожарной безопасности</w:t>
      </w:r>
      <w:r>
        <w:rPr>
          <w:rFonts w:ascii="Times New Roman" w:hAnsi="Times New Roman"/>
          <w:b/>
          <w:sz w:val="27"/>
          <w:szCs w:val="27"/>
        </w:rPr>
        <w:t>:</w:t>
      </w:r>
    </w:p>
    <w:p w:rsidR="009722B2" w:rsidRDefault="00DA07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основное мероприятие включает себя приобретение, издание и распространение информационного материала по противопожарной безопасности (листовки, брошюры, плакаты, стенды, учебные и наглядные пособия, учебно-методическая литература), проведение месячников пожарной безопасности, проведение наземных патрулирований в пожароопасный период.</w:t>
      </w:r>
    </w:p>
    <w:p w:rsidR="009722B2" w:rsidRDefault="00DA0721">
      <w:pPr>
        <w:spacing w:after="0" w:line="240" w:lineRule="auto"/>
        <w:ind w:firstLine="709"/>
        <w:jc w:val="both"/>
        <w:rPr>
          <w:rStyle w:val="afc"/>
          <w:rFonts w:ascii="Times New Roman" w:hAnsi="Times New Roman"/>
          <w:b w:val="0"/>
          <w:bCs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4.5.</w:t>
      </w:r>
      <w:r>
        <w:rPr>
          <w:rStyle w:val="af6"/>
          <w:rFonts w:ascii="Times New Roman" w:hAnsi="Times New Roman"/>
          <w:b w:val="0"/>
          <w:bCs/>
          <w:sz w:val="27"/>
          <w:szCs w:val="27"/>
        </w:rPr>
        <w:t xml:space="preserve"> </w:t>
      </w:r>
      <w:r>
        <w:rPr>
          <w:rStyle w:val="afc"/>
          <w:rFonts w:ascii="Times New Roman" w:hAnsi="Times New Roman"/>
          <w:b w:val="0"/>
          <w:bCs/>
          <w:color w:val="000000"/>
          <w:sz w:val="27"/>
          <w:szCs w:val="27"/>
        </w:rPr>
        <w:t>Пропаганда знаний и подготовка населения в области гражданской обороны и защиты от чрезвычайных ситуаций:</w:t>
      </w:r>
    </w:p>
    <w:p w:rsidR="009722B2" w:rsidRDefault="00DA0721">
      <w:pPr>
        <w:spacing w:after="0" w:line="240" w:lineRule="auto"/>
        <w:ind w:firstLine="709"/>
        <w:jc w:val="both"/>
      </w:pPr>
      <w:r>
        <w:rPr>
          <w:rStyle w:val="afc"/>
          <w:rFonts w:ascii="Times New Roman" w:hAnsi="Times New Roman"/>
          <w:b w:val="0"/>
          <w:bCs/>
          <w:color w:val="000000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основное мероприятие включает себя приобретение, издание и распространение информационного материала (листовки, брошюры, плакаты, стенды, учебные и наглядные пособия учебно-методическая литература), участие (оказание финансовой помощи) при проведении районных соревнований «Юный пожарный», «Школа безопасности», публикации статей в районной газете «Наше Время», информирующих население о мерах безопасности, способах защиты от опасностей мирного и военного времени</w:t>
      </w:r>
    </w:p>
    <w:p w:rsidR="009722B2" w:rsidRDefault="009722B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9722B2" w:rsidRDefault="00DA072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5. Основные меры правового регулирования </w:t>
      </w:r>
      <w:r>
        <w:rPr>
          <w:rFonts w:ascii="Times New Roman" w:hAnsi="Times New Roman"/>
          <w:b/>
          <w:sz w:val="27"/>
          <w:szCs w:val="27"/>
        </w:rPr>
        <w:t>в сфере защиты населения от чрезвычайных ситуаций, обеспечения пожарной безопасности и безопасности людей на водных объектах в Верховском районе</w:t>
      </w:r>
      <w:r>
        <w:rPr>
          <w:rFonts w:ascii="Times New Roman" w:hAnsi="Times New Roman"/>
          <w:b/>
          <w:bCs/>
          <w:sz w:val="27"/>
          <w:szCs w:val="27"/>
        </w:rPr>
        <w:t>, направленные на достижение целей и конечных результатов Программы</w:t>
      </w:r>
    </w:p>
    <w:p w:rsidR="009722B2" w:rsidRDefault="009722B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22B2" w:rsidRDefault="00DA0721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7"/>
          <w:szCs w:val="27"/>
        </w:rPr>
        <w:t>Реализация Программы предполагает разработку и утверждение комплекса мер правового регулирования.</w:t>
      </w:r>
    </w:p>
    <w:p w:rsidR="009722B2" w:rsidRDefault="00DA0721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ab/>
        <w:t>Разработка и утверждение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настоящей Программы, а также в случае принятия соответствующих управленческих решений.</w:t>
      </w:r>
    </w:p>
    <w:p w:rsidR="009722B2" w:rsidRDefault="009722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722B2" w:rsidRDefault="00DA072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6. Прогноз конечных результатов реализации Программы, перечень целевых показателей (индикаторов) результативности Программы</w:t>
      </w:r>
    </w:p>
    <w:p w:rsidR="009722B2" w:rsidRDefault="009722B2">
      <w:pPr>
        <w:pStyle w:val="aff1"/>
        <w:ind w:left="0" w:firstLine="567"/>
        <w:jc w:val="both"/>
        <w:rPr>
          <w:b/>
          <w:bCs/>
          <w:sz w:val="27"/>
          <w:szCs w:val="27"/>
        </w:rPr>
      </w:pPr>
    </w:p>
    <w:p w:rsidR="009722B2" w:rsidRDefault="00DA0721">
      <w:pPr>
        <w:pStyle w:val="aff1"/>
        <w:ind w:left="0" w:firstLine="567"/>
        <w:jc w:val="both"/>
      </w:pPr>
      <w:r>
        <w:rPr>
          <w:sz w:val="27"/>
          <w:szCs w:val="27"/>
        </w:rPr>
        <w:t xml:space="preserve">Целевыми показателями эффективности реализации Программы будут являться: </w:t>
      </w:r>
    </w:p>
    <w:p w:rsidR="009722B2" w:rsidRDefault="00DA0721">
      <w:pPr>
        <w:pStyle w:val="aff1"/>
        <w:ind w:left="0" w:firstLine="567"/>
        <w:jc w:val="both"/>
      </w:pPr>
      <w:r>
        <w:rPr>
          <w:sz w:val="27"/>
          <w:szCs w:val="27"/>
        </w:rPr>
        <w:t>- повышение уровня информированности населения об угрозе возникновения чрезвычайных ситуаций (происшествий), об их возникновении и порядке действий – до 90 %.</w:t>
      </w:r>
    </w:p>
    <w:p w:rsidR="009722B2" w:rsidRDefault="00DA0721">
      <w:pPr>
        <w:pStyle w:val="aff1"/>
        <w:ind w:left="0" w:firstLine="567"/>
        <w:jc w:val="both"/>
      </w:pPr>
      <w:r>
        <w:rPr>
          <w:sz w:val="27"/>
          <w:szCs w:val="27"/>
        </w:rPr>
        <w:t>- повышение уровня подготовки по вопросам безопасности – до 100 %;</w:t>
      </w:r>
    </w:p>
    <w:p w:rsidR="009722B2" w:rsidRDefault="00DA0721">
      <w:pPr>
        <w:pStyle w:val="aff1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 сокращение затрат и сроков на ликвидацию ЧС;</w:t>
      </w:r>
    </w:p>
    <w:p w:rsidR="009722B2" w:rsidRDefault="00DA0721">
      <w:pPr>
        <w:pStyle w:val="aff1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 20-30% уменьшить потери от ЧС природного и техногенного характера, а в некоторых случаях – полностью избежать их;</w:t>
      </w:r>
    </w:p>
    <w:p w:rsidR="009722B2" w:rsidRDefault="00DA0721">
      <w:pPr>
        <w:pStyle w:val="aff1"/>
        <w:ind w:left="0"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>- повышение уровня защищенности личности и населения района в целом.</w:t>
      </w:r>
    </w:p>
    <w:p w:rsidR="009722B2" w:rsidRDefault="009722B2">
      <w:pPr>
        <w:spacing w:after="0" w:line="240" w:lineRule="auto"/>
        <w:ind w:right="-143"/>
        <w:rPr>
          <w:rFonts w:ascii="Times New Roman" w:hAnsi="Times New Roman"/>
          <w:bCs/>
          <w:sz w:val="27"/>
          <w:szCs w:val="27"/>
        </w:rPr>
      </w:pPr>
    </w:p>
    <w:p w:rsidR="009722B2" w:rsidRDefault="00DA0721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7. Ресурсное обеспечение Программы</w:t>
      </w:r>
    </w:p>
    <w:p w:rsidR="009722B2" w:rsidRDefault="009722B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22B2" w:rsidRDefault="00DA072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7"/>
          <w:szCs w:val="27"/>
        </w:rPr>
        <w:t>Финансирование мероприятий Программы осуществляется за счёт средств бюджета Верховского района Орловской области в объеме 141,0 тыс. рублей, в том числе:</w:t>
      </w:r>
    </w:p>
    <w:p w:rsidR="009722B2" w:rsidRDefault="00DA0721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в 2022 году – 47,0 тысяч рублей, в 2023 году – 47,0 тысяч рублей, в 2024 году – 47,0 тысяч рублей.</w:t>
      </w:r>
    </w:p>
    <w:p w:rsidR="009722B2" w:rsidRDefault="00DA072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7"/>
          <w:szCs w:val="27"/>
        </w:rPr>
        <w:t>Мероприятия Программы реализуются при условии включения данных объемов финансирования в бюджет Верховского района.</w:t>
      </w:r>
    </w:p>
    <w:p w:rsidR="009722B2" w:rsidRDefault="009722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722B2" w:rsidRDefault="00DA072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8. Анализ рисков реализации Программы и описание мер по управлению рисками с целью минимизации их влияния на достижение целей Программы</w:t>
      </w:r>
    </w:p>
    <w:p w:rsidR="009722B2" w:rsidRDefault="009722B2">
      <w:pPr>
        <w:pStyle w:val="ConsPlusNormal"/>
        <w:ind w:firstLine="66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722B2" w:rsidRDefault="00DA0721">
      <w:pPr>
        <w:pStyle w:val="ConsPlusNormal"/>
        <w:ind w:firstLine="660"/>
        <w:jc w:val="both"/>
      </w:pPr>
      <w:r>
        <w:rPr>
          <w:rFonts w:ascii="Times New Roman" w:hAnsi="Times New Roman" w:cs="Times New Roman"/>
          <w:sz w:val="27"/>
          <w:szCs w:val="27"/>
        </w:rPr>
        <w:t>Выделяются следующие группы рисков, которые могут возникнуть в ходе реализации Программы:</w:t>
      </w:r>
    </w:p>
    <w:p w:rsidR="009722B2" w:rsidRDefault="00DA0721">
      <w:pPr>
        <w:pStyle w:val="ConsPlusNormal"/>
        <w:ind w:firstLine="7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риски;</w:t>
      </w:r>
    </w:p>
    <w:p w:rsidR="009722B2" w:rsidRDefault="00DA0721">
      <w:pPr>
        <w:pStyle w:val="ConsPlusNormal"/>
        <w:ind w:firstLine="7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социальные риски.</w:t>
      </w:r>
    </w:p>
    <w:p w:rsidR="009722B2" w:rsidRDefault="00DA0721">
      <w:pPr>
        <w:pStyle w:val="ConsPlusNormal"/>
        <w:ind w:firstLine="660"/>
        <w:jc w:val="both"/>
      </w:pPr>
      <w:r>
        <w:rPr>
          <w:rFonts w:ascii="Times New Roman" w:hAnsi="Times New Roman" w:cs="Times New Roman"/>
          <w:sz w:val="27"/>
          <w:szCs w:val="27"/>
        </w:rPr>
        <w:t>Финансово-экономические риски связаны с сокращением в ходе реализации Программы предусмотренных объемов бюджетных средств. Это может потребовать внесения изменений в Программу, пересмотра целевых значений показателей и, возможно, отказа от реализации отдельных мероприятий и задач Программы. Сокращение финансирования муниципальной Программы негативным образом может сказаться на макроэкономических показателях муниципальной Программы, может привести к снижению прогнозируемого вклада муниципальной Программы в улучшение качества жизни населения, развитие социальной сферы, экономики Верховского района.</w:t>
      </w:r>
    </w:p>
    <w:p w:rsidR="009722B2" w:rsidRDefault="00DA07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Отдельной разновидностью финансово-экономических рисков является риск неосвоения выделенных денежных средств. Их причиной являются:</w:t>
      </w:r>
    </w:p>
    <w:p w:rsidR="009722B2" w:rsidRDefault="00DA072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7"/>
          <w:szCs w:val="27"/>
        </w:rPr>
        <w:t>1) низкая исполнительская дисциплина ответственных исполнителей Программы, должностных лиц, ответственных за выполнение мероприятий муниципальной Программы;</w:t>
      </w:r>
    </w:p>
    <w:p w:rsidR="009722B2" w:rsidRDefault="00DA072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7"/>
          <w:szCs w:val="27"/>
        </w:rPr>
        <w:t>2) несвоевременная разработка, согласование и принятие документов, обеспечивающих выполнение мероприятий муниципальной Программы;</w:t>
      </w:r>
    </w:p>
    <w:p w:rsidR="009722B2" w:rsidRDefault="00DA072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7"/>
          <w:szCs w:val="27"/>
        </w:rPr>
        <w:t>3) недостаточная оперативность при корректировке плана реализации муниципальной Программы при наступлении веских на то оснований.</w:t>
      </w:r>
    </w:p>
    <w:p w:rsidR="009722B2" w:rsidRDefault="00DA07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администрирования.</w:t>
      </w:r>
    </w:p>
    <w:p w:rsidR="009722B2" w:rsidRDefault="00DA0721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7"/>
          <w:szCs w:val="27"/>
        </w:rPr>
        <w:t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целевого финансирования, применения технологии решения актуальных проблем.</w:t>
      </w:r>
    </w:p>
    <w:p w:rsidR="009722B2" w:rsidRDefault="009722B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722B2" w:rsidRDefault="00DA072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9. Порядок и методика оценки эффективности муниципальной Программы</w:t>
      </w:r>
    </w:p>
    <w:p w:rsidR="009722B2" w:rsidRDefault="00DA0721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7"/>
          <w:szCs w:val="27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с целью уточнения степени достижения цели, решения задачи выполнения мероприятий муниципальной Программы. </w:t>
      </w:r>
    </w:p>
    <w:p w:rsidR="009722B2" w:rsidRDefault="00DA0721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7"/>
          <w:szCs w:val="27"/>
        </w:rPr>
        <w:t>Результаты оценки эффективности реализации муниципальной Программы представляются в составе годового отчета ответственного исполнителя Программы о ходе ее реализации.</w:t>
      </w:r>
    </w:p>
    <w:p w:rsidR="009722B2" w:rsidRDefault="00DA072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  <w:sectPr w:rsidR="009722B2">
          <w:pgSz w:w="11906" w:h="16838"/>
          <w:pgMar w:top="1079" w:right="796" w:bottom="1079" w:left="1650" w:header="0" w:footer="0" w:gutter="0"/>
          <w:cols w:space="1701"/>
          <w:docGrid w:linePitch="360"/>
        </w:sectPr>
      </w:pPr>
      <w:r>
        <w:rPr>
          <w:rFonts w:ascii="Times New Roman" w:hAnsi="Times New Roman"/>
          <w:sz w:val="27"/>
          <w:szCs w:val="27"/>
        </w:rPr>
        <w:t xml:space="preserve">Оценка эффективности реализации муниципальной Программы осуществляется в один этап.  </w:t>
      </w:r>
    </w:p>
    <w:p w:rsidR="009722B2" w:rsidRDefault="00DA0721">
      <w:pPr>
        <w:spacing w:after="0" w:line="240" w:lineRule="auto"/>
        <w:ind w:left="9460" w:firstLine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722B2" w:rsidRDefault="00DA0721">
      <w:pPr>
        <w:spacing w:after="0" w:line="240" w:lineRule="auto"/>
        <w:ind w:left="9460" w:firstLine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722B2" w:rsidRDefault="00DA0721">
      <w:pPr>
        <w:spacing w:after="0" w:line="240" w:lineRule="auto"/>
        <w:ind w:left="94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системы комплексной безопасности Верховского района на 2022-2024 годы»</w:t>
      </w:r>
    </w:p>
    <w:p w:rsidR="009722B2" w:rsidRDefault="00972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2B2" w:rsidRDefault="00DA072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Перечень основных мероприятий муниципальной Программы</w:t>
      </w:r>
    </w:p>
    <w:p w:rsidR="009722B2" w:rsidRDefault="00DA072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«Развитие системы комплексной безопасности Верховского района на 2022-2024 годы»</w:t>
      </w:r>
    </w:p>
    <w:p w:rsidR="009722B2" w:rsidRDefault="009722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50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778"/>
        <w:gridCol w:w="3396"/>
        <w:gridCol w:w="1842"/>
        <w:gridCol w:w="1841"/>
        <w:gridCol w:w="3627"/>
      </w:tblGrid>
      <w:tr w:rsidR="009722B2">
        <w:trPr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9722B2">
        <w:trPr>
          <w:tblHeader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97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97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97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2B2" w:rsidRDefault="0097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2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Развитие органов управления, сил и средств предупреждения и ликвидации чрезвычайных ситуаций и гражданской обороны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Верховского района (главный специалист по ГО и ЧС)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готовности органов управления и сил к действиям по предназначению</w:t>
            </w:r>
          </w:p>
        </w:tc>
      </w:tr>
      <w:tr w:rsidR="009722B2">
        <w:trPr>
          <w:trHeight w:val="18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Создание и накопление запасов материальных ресурсов, предназначенных для защиты населения от чрезвычайных ситуации и по гражданской обороне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Верховского района (главный специалист по ГО и ЧС)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оперативного реагирования на ЧС (происшествия)</w:t>
            </w:r>
          </w:p>
        </w:tc>
      </w:tr>
      <w:tr w:rsidR="009722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Верховского района (главный специалист по ГО и ЧС)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снижение гибели людей на водных объектах </w:t>
            </w:r>
          </w:p>
        </w:tc>
      </w:tr>
      <w:tr w:rsidR="009722B2">
        <w:trPr>
          <w:trHeight w:val="10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Осуществление мероприятий по обеспечению пожарной безопасности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Верховского района (главный специалист по ГО и ЧС)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снижение уровня гибели и травматизма людей в чрезвычайных ситуациях и на пожарах</w:t>
            </w:r>
          </w:p>
        </w:tc>
      </w:tr>
      <w:tr w:rsidR="009722B2">
        <w:trPr>
          <w:trHeight w:val="107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</w:pPr>
            <w:r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Пропаганда знаний и подготовка населения в области гражданской обороны и защиты от чрезвычайных ситуаций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Верховского района (главный специалист по ГО и ЧС)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снижение уровня гибели и травматизма людей, повышение уровня подготовки</w:t>
            </w:r>
          </w:p>
        </w:tc>
      </w:tr>
    </w:tbl>
    <w:p w:rsidR="009722B2" w:rsidRDefault="00DA0721">
      <w:pPr>
        <w:spacing w:after="0"/>
        <w:ind w:left="9460" w:firstLine="9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722B2" w:rsidRDefault="00DA0721">
      <w:pPr>
        <w:spacing w:after="0" w:line="240" w:lineRule="auto"/>
        <w:ind w:left="9460" w:firstLine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722B2" w:rsidRDefault="00DA0721">
      <w:pPr>
        <w:ind w:left="9460"/>
        <w:jc w:val="center"/>
      </w:pPr>
      <w:r>
        <w:rPr>
          <w:rFonts w:ascii="Times New Roman" w:hAnsi="Times New Roman"/>
          <w:sz w:val="24"/>
          <w:szCs w:val="24"/>
        </w:rPr>
        <w:t>«Развитие системы комплексной безопасности Верховского района на 2022-2024 годы»</w:t>
      </w:r>
    </w:p>
    <w:p w:rsidR="009722B2" w:rsidRDefault="009722B2">
      <w:pPr>
        <w:widowControl w:val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018"/>
      <w:bookmarkEnd w:id="1"/>
    </w:p>
    <w:p w:rsidR="009722B2" w:rsidRDefault="00DA0721">
      <w:pPr>
        <w:widowControl w:val="0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Основные меры правового регулирования, направленные на достижение целей и конечных результатов Программы</w:t>
      </w:r>
    </w:p>
    <w:tbl>
      <w:tblPr>
        <w:tblW w:w="1514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3156"/>
        <w:gridCol w:w="4394"/>
        <w:gridCol w:w="2977"/>
        <w:gridCol w:w="3979"/>
      </w:tblGrid>
      <w:tr w:rsidR="009722B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9722B2" w:rsidRDefault="00DA0721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/</w:t>
            </w:r>
            <w:r>
              <w:rPr>
                <w:rFonts w:ascii="Times New Roman" w:hAnsi="Times New Roman"/>
                <w:sz w:val="27"/>
                <w:szCs w:val="27"/>
              </w:rPr>
              <w:t>п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Вид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Основные положения нормативного правового акта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2B2" w:rsidRDefault="00DA0721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Ожидаемые сроки принятия правового акта</w:t>
            </w:r>
          </w:p>
        </w:tc>
      </w:tr>
      <w:tr w:rsidR="009722B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Постановление администрации Верховского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Решение о внесении изменений (корректировке) в муниципальную программу «Развитие системы комплексной безопасности Верховского района на 2022-2024 годы»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Верховского района (главный специалист по ГО и ЧС)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Ежегодно, по мере необходимости</w:t>
            </w:r>
          </w:p>
        </w:tc>
      </w:tr>
    </w:tbl>
    <w:p w:rsidR="009722B2" w:rsidRDefault="00DA0721">
      <w:pPr>
        <w:widowControl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722B2" w:rsidRDefault="00DA0721">
      <w:pPr>
        <w:spacing w:after="0"/>
        <w:ind w:left="8364" w:firstLine="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9722B2" w:rsidRDefault="00DA0721">
      <w:pPr>
        <w:spacing w:after="0"/>
        <w:ind w:left="9350" w:firstLine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722B2" w:rsidRDefault="00DA0721">
      <w:pPr>
        <w:spacing w:after="0" w:line="240" w:lineRule="auto"/>
        <w:ind w:left="9350" w:firstLine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722B2" w:rsidRDefault="00DA0721">
      <w:pPr>
        <w:spacing w:after="0" w:line="240" w:lineRule="auto"/>
        <w:ind w:left="93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системы комплексной безопасности Верховского района на 2022-2024 годы»</w:t>
      </w:r>
    </w:p>
    <w:p w:rsidR="009722B2" w:rsidRDefault="00972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2B2" w:rsidRDefault="00DA072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План реализации Программы, ресурсное обеспечение Программы за счет средств бюджета Верховского района</w:t>
      </w:r>
    </w:p>
    <w:p w:rsidR="009722B2" w:rsidRDefault="00972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1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5720"/>
        <w:gridCol w:w="3410"/>
        <w:gridCol w:w="1843"/>
        <w:gridCol w:w="854"/>
        <w:gridCol w:w="880"/>
        <w:gridCol w:w="780"/>
      </w:tblGrid>
      <w:tr w:rsidR="009722B2">
        <w:trPr>
          <w:trHeight w:val="95"/>
          <w:tblHeader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Программы/</w:t>
            </w:r>
          </w:p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Программы, основного мероприятия Программы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ind w:lef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722B2">
        <w:trPr>
          <w:trHeight w:val="95"/>
          <w:tblHeader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97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97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97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97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</w:tr>
      <w:tr w:rsidR="009722B2">
        <w:trPr>
          <w:cantSplit/>
          <w:trHeight w:val="750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системы комплексной безопасности Верховского района на 2019-2021 годы»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Верховского района (Главный специалист по ГО и ЧС)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9722B2">
        <w:trPr>
          <w:cantSplit/>
          <w:trHeight w:val="81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Развитие органов управления, сил и средств предупреждения и ликвидации чрезвычайных ситуаций и гражданской обороны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97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722B2">
        <w:trPr>
          <w:cantSplit/>
          <w:trHeight w:val="1156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</w:pPr>
            <w:r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Создание и накопление запасов резерва материальных ресурсов, предназначенных для защиты населения от чрезвычайных ситуации и 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97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722B2">
        <w:trPr>
          <w:trHeight w:val="8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972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722B2">
        <w:trPr>
          <w:trHeight w:val="9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Осуществление мероприятий по обеспечению пожарной безопасности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97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3,,0</w:t>
            </w:r>
          </w:p>
        </w:tc>
      </w:tr>
      <w:tr w:rsidR="009722B2">
        <w:trPr>
          <w:trHeight w:val="9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Пропаганда знаний и подготовка населения в области гражданской обороны и защиты от чрезвычайных ситуаций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97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B2" w:rsidRDefault="00DA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9722B2" w:rsidRDefault="00972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22B2">
      <w:pgSz w:w="16838" w:h="11906" w:orient="landscape"/>
      <w:pgMar w:top="850" w:right="1134" w:bottom="709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B7" w:rsidRDefault="004852B7">
      <w:pPr>
        <w:spacing w:after="0" w:line="240" w:lineRule="auto"/>
      </w:pPr>
      <w:r>
        <w:separator/>
      </w:r>
    </w:p>
  </w:endnote>
  <w:endnote w:type="continuationSeparator" w:id="0">
    <w:p w:rsidR="004852B7" w:rsidRDefault="0048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;arial unicode ms">
    <w:altName w:val="Malgun Gothic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B7" w:rsidRDefault="004852B7">
      <w:pPr>
        <w:spacing w:after="0" w:line="240" w:lineRule="auto"/>
      </w:pPr>
      <w:r>
        <w:separator/>
      </w:r>
    </w:p>
  </w:footnote>
  <w:footnote w:type="continuationSeparator" w:id="0">
    <w:p w:rsidR="004852B7" w:rsidRDefault="0048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2D94"/>
    <w:multiLevelType w:val="hybridMultilevel"/>
    <w:tmpl w:val="7D18814C"/>
    <w:lvl w:ilvl="0" w:tplc="A7C24218">
      <w:start w:val="1"/>
      <w:numFmt w:val="none"/>
      <w:suff w:val="nothing"/>
      <w:lvlText w:val=""/>
      <w:lvlJc w:val="left"/>
      <w:pPr>
        <w:ind w:left="0" w:firstLine="0"/>
      </w:pPr>
    </w:lvl>
    <w:lvl w:ilvl="1" w:tplc="22CE9BDC">
      <w:start w:val="1"/>
      <w:numFmt w:val="none"/>
      <w:suff w:val="nothing"/>
      <w:lvlText w:val=""/>
      <w:lvlJc w:val="left"/>
      <w:pPr>
        <w:ind w:left="0" w:firstLine="0"/>
      </w:pPr>
    </w:lvl>
    <w:lvl w:ilvl="2" w:tplc="ED44FBAE">
      <w:start w:val="1"/>
      <w:numFmt w:val="none"/>
      <w:suff w:val="nothing"/>
      <w:lvlText w:val=""/>
      <w:lvlJc w:val="left"/>
      <w:pPr>
        <w:ind w:left="0" w:firstLine="0"/>
      </w:pPr>
    </w:lvl>
    <w:lvl w:ilvl="3" w:tplc="CAE41924">
      <w:start w:val="1"/>
      <w:numFmt w:val="none"/>
      <w:suff w:val="nothing"/>
      <w:lvlText w:val=""/>
      <w:lvlJc w:val="left"/>
      <w:pPr>
        <w:ind w:left="0" w:firstLine="0"/>
      </w:pPr>
    </w:lvl>
    <w:lvl w:ilvl="4" w:tplc="BBF0550E">
      <w:start w:val="1"/>
      <w:numFmt w:val="none"/>
      <w:suff w:val="nothing"/>
      <w:lvlText w:val=""/>
      <w:lvlJc w:val="left"/>
      <w:pPr>
        <w:ind w:left="0" w:firstLine="0"/>
      </w:pPr>
    </w:lvl>
    <w:lvl w:ilvl="5" w:tplc="83A4B92A">
      <w:start w:val="1"/>
      <w:numFmt w:val="none"/>
      <w:suff w:val="nothing"/>
      <w:lvlText w:val=""/>
      <w:lvlJc w:val="left"/>
      <w:pPr>
        <w:ind w:left="0" w:firstLine="0"/>
      </w:pPr>
    </w:lvl>
    <w:lvl w:ilvl="6" w:tplc="361E6F12">
      <w:start w:val="1"/>
      <w:numFmt w:val="none"/>
      <w:suff w:val="nothing"/>
      <w:lvlText w:val=""/>
      <w:lvlJc w:val="left"/>
      <w:pPr>
        <w:ind w:left="0" w:firstLine="0"/>
      </w:pPr>
    </w:lvl>
    <w:lvl w:ilvl="7" w:tplc="6DE2F87C">
      <w:start w:val="1"/>
      <w:numFmt w:val="none"/>
      <w:suff w:val="nothing"/>
      <w:lvlText w:val=""/>
      <w:lvlJc w:val="left"/>
      <w:pPr>
        <w:ind w:left="0" w:firstLine="0"/>
      </w:pPr>
    </w:lvl>
    <w:lvl w:ilvl="8" w:tplc="6324CEF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AE1D61"/>
    <w:multiLevelType w:val="multilevel"/>
    <w:tmpl w:val="D33091D0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B2"/>
    <w:rsid w:val="004852B7"/>
    <w:rsid w:val="009722B2"/>
    <w:rsid w:val="009A11D2"/>
    <w:rsid w:val="00CD6629"/>
    <w:rsid w:val="00D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FBA85-48D3-4E6A-B078-E605D4AF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qFormat/>
    <w:pPr>
      <w:keepNext/>
      <w:numPr>
        <w:numId w:val="2"/>
      </w:numPr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1"/>
    <w:qFormat/>
    <w:pPr>
      <w:keepNext/>
      <w:spacing w:after="0" w:line="240" w:lineRule="auto"/>
      <w:ind w:firstLine="360"/>
      <w:jc w:val="center"/>
      <w:outlineLvl w:val="4"/>
    </w:pPr>
    <w:rPr>
      <w:rFonts w:ascii="Times New Roman" w:hAnsi="Times New Roman"/>
      <w:b/>
      <w:sz w:val="28"/>
      <w:szCs w:val="24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Arial Unicode MS" w:eastAsia="Arial Unicode MS" w:hAnsi="Arial Unicode MS" w:cs="Arial Unicode MS"/>
      <w:color w:val="00000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21">
    <w:name w:val="Подзаголовок Знак2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24">
    <w:name w:val="Верхний колонтитул Знак2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25">
    <w:name w:val="Нижний колонтитул Знак2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6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7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i w:val="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43">
    <w:name w:val="Заголовок 4 Знак"/>
    <w:qFormat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3">
    <w:name w:val="Заголовок 5 Знак"/>
    <w:qFormat/>
    <w:rPr>
      <w:rFonts w:ascii="Times New Roman" w:eastAsia="Times New Roman" w:hAnsi="Times New Roman" w:cs="Times New Roman"/>
      <w:b/>
      <w:sz w:val="28"/>
      <w:szCs w:val="24"/>
      <w:lang w:val="en-US" w:eastAsia="en-US"/>
    </w:rPr>
  </w:style>
  <w:style w:type="character" w:customStyle="1" w:styleId="af6">
    <w:name w:val="Основной текст Знак"/>
    <w:qFormat/>
    <w:rPr>
      <w:rFonts w:ascii="Arial Black" w:eastAsia="Times New Roman" w:hAnsi="Arial Black" w:cs="Times New Roman"/>
      <w:b/>
      <w:sz w:val="40"/>
      <w:szCs w:val="24"/>
    </w:rPr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Подзаголовок Знак"/>
    <w:qFormat/>
    <w:rPr>
      <w:rFonts w:ascii="Arial" w:hAnsi="Arial" w:cs="Arial"/>
      <w:b/>
      <w:bCs/>
      <w:sz w:val="48"/>
      <w:szCs w:val="24"/>
      <w:lang w:eastAsia="zh-CN"/>
    </w:rPr>
  </w:style>
  <w:style w:type="character" w:customStyle="1" w:styleId="13">
    <w:name w:val="Текст выноски Знак1"/>
    <w:qFormat/>
    <w:rPr>
      <w:rFonts w:ascii="Tahoma" w:hAnsi="Tahoma" w:cs="Tahoma"/>
      <w:sz w:val="16"/>
      <w:szCs w:val="16"/>
      <w:lang w:eastAsia="zh-CN"/>
    </w:rPr>
  </w:style>
  <w:style w:type="character" w:customStyle="1" w:styleId="44">
    <w:name w:val="Основной шрифт абзаца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33">
    <w:name w:val="Основной шрифт абзаца3"/>
    <w:qFormat/>
  </w:style>
  <w:style w:type="character" w:customStyle="1" w:styleId="28">
    <w:name w:val="Основной шрифт абзаца2"/>
    <w:qFormat/>
  </w:style>
  <w:style w:type="character" w:customStyle="1" w:styleId="WW-Absatz-Standardschriftart1">
    <w:name w:val="WW-Absatz-Standardschriftart1"/>
    <w:qFormat/>
  </w:style>
  <w:style w:type="character" w:customStyle="1" w:styleId="14">
    <w:name w:val="Основной шрифт абзаца1"/>
    <w:qFormat/>
  </w:style>
  <w:style w:type="character" w:customStyle="1" w:styleId="afa">
    <w:name w:val="Символ нумерации"/>
    <w:qFormat/>
  </w:style>
  <w:style w:type="character" w:customStyle="1" w:styleId="15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b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16">
    <w:name w:val="Верхний колонтитул Знак1"/>
    <w:basedOn w:val="a0"/>
    <w:qFormat/>
  </w:style>
  <w:style w:type="character" w:customStyle="1" w:styleId="17">
    <w:name w:val="Нижний колонтитул Знак1"/>
    <w:basedOn w:val="a0"/>
    <w:qFormat/>
  </w:style>
  <w:style w:type="character" w:customStyle="1" w:styleId="afc">
    <w:name w:val="Цветовое выделение"/>
    <w:qFormat/>
    <w:rPr>
      <w:b/>
      <w:color w:val="000080"/>
    </w:rPr>
  </w:style>
  <w:style w:type="character" w:customStyle="1" w:styleId="29">
    <w:name w:val="Основной текст 2 Знак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d">
    <w:name w:val="Основной текст_"/>
    <w:qFormat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">
    <w:name w:val="Heading"/>
    <w:basedOn w:val="a"/>
    <w:next w:val="afe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MainStyl">
    <w:name w:val="MainStyl"/>
    <w:basedOn w:val="a"/>
    <w:qFormat/>
    <w:pPr>
      <w:spacing w:after="0" w:line="246" w:lineRule="atLeast"/>
      <w:ind w:firstLine="283"/>
      <w:jc w:val="both"/>
    </w:pPr>
    <w:rPr>
      <w:rFonts w:ascii="newtonc;arial unicode ms" w:hAnsi="newtonc;arial unicode ms"/>
      <w:color w:val="000000"/>
      <w:sz w:val="21"/>
      <w:szCs w:val="21"/>
    </w:rPr>
  </w:style>
  <w:style w:type="paragraph" w:customStyle="1" w:styleId="headertext">
    <w:name w:val="headertext"/>
    <w:basedOn w:val="a"/>
    <w:qFormat/>
    <w:pPr>
      <w:spacing w:before="144" w:after="144" w:line="240" w:lineRule="atLeast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aff1">
    <w:name w:val="Normal (Web)"/>
    <w:basedOn w:val="a"/>
    <w:qFormat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24"/>
    <w:pPr>
      <w:spacing w:after="0" w:line="240" w:lineRule="auto"/>
    </w:pPr>
    <w:rPr>
      <w:sz w:val="24"/>
      <w:szCs w:val="24"/>
    </w:rPr>
  </w:style>
  <w:style w:type="paragraph" w:styleId="ab">
    <w:name w:val="footer"/>
    <w:basedOn w:val="a"/>
    <w:link w:val="25"/>
    <w:pPr>
      <w:spacing w:after="0" w:line="240" w:lineRule="auto"/>
    </w:pPr>
    <w:rPr>
      <w:sz w:val="24"/>
      <w:szCs w:val="24"/>
    </w:rPr>
  </w:style>
  <w:style w:type="paragraph" w:styleId="a7">
    <w:name w:val="Subtitle"/>
    <w:basedOn w:val="a"/>
    <w:next w:val="a"/>
    <w:link w:val="21"/>
    <w:qFormat/>
    <w:pPr>
      <w:spacing w:after="0" w:line="240" w:lineRule="auto"/>
    </w:pPr>
    <w:rPr>
      <w:rFonts w:ascii="Arial" w:hAnsi="Arial" w:cs="Arial"/>
      <w:b/>
      <w:bCs/>
      <w:sz w:val="48"/>
      <w:szCs w:val="24"/>
    </w:rPr>
  </w:style>
  <w:style w:type="paragraph" w:styleId="aff2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3">
    <w:name w:val="Заголовок"/>
    <w:basedOn w:val="a"/>
    <w:next w:val="afe"/>
    <w:qFormat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paragraph" w:customStyle="1" w:styleId="45">
    <w:name w:val="Указатель4"/>
    <w:basedOn w:val="a"/>
    <w:qFormat/>
    <w:pPr>
      <w:suppressLineNumber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customStyle="1" w:styleId="34">
    <w:name w:val="Название объекта3"/>
    <w:basedOn w:val="a"/>
    <w:qFormat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35">
    <w:name w:val="Указатель3"/>
    <w:basedOn w:val="a"/>
    <w:qFormat/>
    <w:pPr>
      <w:suppressLineNumber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customStyle="1" w:styleId="2a">
    <w:name w:val="Название объекта2"/>
    <w:basedOn w:val="a"/>
    <w:qFormat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2b">
    <w:name w:val="Указатель2"/>
    <w:basedOn w:val="a"/>
    <w:qFormat/>
    <w:pPr>
      <w:suppressLineNumber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customStyle="1" w:styleId="18">
    <w:name w:val="Название объекта1"/>
    <w:basedOn w:val="a"/>
    <w:qFormat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19">
    <w:name w:val="Указатель1"/>
    <w:basedOn w:val="a"/>
    <w:qFormat/>
    <w:pPr>
      <w:suppressLineNumber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customStyle="1" w:styleId="aff4">
    <w:name w:val="Содержимое таблицы"/>
    <w:basedOn w:val="a"/>
    <w:qFormat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6">
    <w:name w:val="Прижатый влево"/>
    <w:basedOn w:val="a"/>
    <w:next w:val="a"/>
    <w:qFormat/>
    <w:pPr>
      <w:widowControl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7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2c">
    <w:name w:val="Body Text 2"/>
    <w:basedOn w:val="a"/>
    <w:qFormat/>
    <w:pPr>
      <w:spacing w:after="120" w:line="480" w:lineRule="auto"/>
    </w:pPr>
    <w:rPr>
      <w:rFonts w:eastAsia="Calibri" w:cs="Calibri"/>
    </w:rPr>
  </w:style>
  <w:style w:type="paragraph" w:customStyle="1" w:styleId="1a">
    <w:name w:val="Знак Знак1 Знак"/>
    <w:basedOn w:val="a"/>
    <w:qFormat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b">
    <w:name w:val="Основной текст1"/>
    <w:basedOn w:val="a"/>
    <w:qFormat/>
    <w:pPr>
      <w:shd w:val="clear" w:color="auto" w:fill="FFFFFF"/>
      <w:spacing w:after="360" w:line="38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Мальцев А.Н.</cp:lastModifiedBy>
  <cp:revision>7</cp:revision>
  <cp:lastPrinted>2021-12-15T11:44:00Z</cp:lastPrinted>
  <dcterms:created xsi:type="dcterms:W3CDTF">2021-12-15T10:40:00Z</dcterms:created>
  <dcterms:modified xsi:type="dcterms:W3CDTF">2021-12-17T05:25:00Z</dcterms:modified>
  <dc:language>en-US</dc:language>
</cp:coreProperties>
</file>