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914" w:rsidRPr="00D21629" w:rsidRDefault="006A1914" w:rsidP="006A19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17"/>
          <w:szCs w:val="17"/>
          <w:lang w:eastAsia="ru-RU"/>
        </w:rPr>
      </w:pPr>
      <w:r>
        <w:fldChar w:fldCharType="begin"/>
      </w:r>
      <w:r>
        <w:instrText xml:space="preserve"> HYPERLINK "https://contenta.info/national_projects/2" </w:instrText>
      </w:r>
      <w:r>
        <w:fldChar w:fldCharType="separate"/>
      </w:r>
      <w:r w:rsidRPr="00D21629">
        <w:rPr>
          <w:rFonts w:ascii="Arial" w:eastAsia="Times New Roman" w:hAnsi="Arial" w:cs="Arial"/>
          <w:color w:val="0000FF"/>
          <w:sz w:val="17"/>
          <w:szCs w:val="17"/>
          <w:u w:val="single"/>
          <w:lang w:eastAsia="ru-RU"/>
        </w:rPr>
        <w:t>Направление</w:t>
      </w:r>
      <w:r w:rsidRPr="00D21629">
        <w:rPr>
          <w:rFonts w:ascii="Arial" w:eastAsia="Times New Roman" w:hAnsi="Arial" w:cs="Arial"/>
          <w:color w:val="0000FF"/>
          <w:sz w:val="17"/>
          <w:szCs w:val="17"/>
          <w:u w:val="single"/>
          <w:lang w:eastAsia="ru-RU"/>
        </w:rPr>
        <w:br/>
        <w:t>Образование</w:t>
      </w:r>
      <w:r>
        <w:rPr>
          <w:rFonts w:ascii="Arial" w:eastAsia="Times New Roman" w:hAnsi="Arial" w:cs="Arial"/>
          <w:color w:val="0000FF"/>
          <w:sz w:val="17"/>
          <w:szCs w:val="17"/>
          <w:u w:val="single"/>
          <w:lang w:eastAsia="ru-RU"/>
        </w:rPr>
        <w:fldChar w:fldCharType="end"/>
      </w:r>
    </w:p>
    <w:p w:rsidR="006A1914" w:rsidRPr="00D21629" w:rsidRDefault="006A1914" w:rsidP="006A19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 w:rsidRPr="00D21629">
        <w:rPr>
          <w:rFonts w:ascii="Arial" w:eastAsia="Times New Roman" w:hAnsi="Arial" w:cs="Arial"/>
          <w:b/>
          <w:bCs/>
          <w:color w:val="464646"/>
          <w:sz w:val="15"/>
          <w:szCs w:val="15"/>
          <w:shd w:val="clear" w:color="auto" w:fill="D9E2EF"/>
          <w:lang w:eastAsia="ru-RU"/>
        </w:rPr>
        <w:t>Региональный</w:t>
      </w:r>
    </w:p>
    <w:p w:rsidR="006A1914" w:rsidRPr="00D21629" w:rsidRDefault="006A1914" w:rsidP="006A1914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</w:pPr>
      <w:r w:rsidRPr="00D21629"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  <w:t>В пяти школах Верховского района будут созданы "Точки роста"</w:t>
      </w:r>
    </w:p>
    <w:p w:rsidR="006A1914" w:rsidRDefault="006A1914" w:rsidP="006A19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</w:p>
    <w:p w:rsidR="006A1914" w:rsidRPr="00D21629" w:rsidRDefault="006A1914" w:rsidP="006A19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D2162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    В рамках национального проекта "Образование" в  текущем году завершается создание Центров образования естественно-научной и технологической направленностей «Точка роста» в общеобразовательных организациях Верховского района, а это в 5 школах: МБОУ "Нижне-</w:t>
      </w:r>
      <w:proofErr w:type="spellStart"/>
      <w:r w:rsidRPr="00D2162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Жёрновская</w:t>
      </w:r>
      <w:proofErr w:type="spellEnd"/>
      <w:r w:rsidRPr="00D2162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средняя общеобразовательная школа", МБОУ "Троицкая средняя общеобразовательная школа", МБОУ </w:t>
      </w:r>
      <w:proofErr w:type="spellStart"/>
      <w:r w:rsidRPr="00D2162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Мочильская</w:t>
      </w:r>
      <w:proofErr w:type="spellEnd"/>
      <w:r w:rsidRPr="00D2162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СОШ, МБОУ "</w:t>
      </w:r>
      <w:proofErr w:type="spellStart"/>
      <w:r w:rsidRPr="00D2162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Теляженская</w:t>
      </w:r>
      <w:proofErr w:type="spellEnd"/>
      <w:r w:rsidRPr="00D2162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основная общеобразовательная школа", МБОУ "</w:t>
      </w:r>
      <w:proofErr w:type="spellStart"/>
      <w:r w:rsidRPr="00D2162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Синковская</w:t>
      </w:r>
      <w:proofErr w:type="spellEnd"/>
      <w:r w:rsidRPr="00D2162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ООШ" начали получать оборудование для преподавания учебных предметов из предметных областей «Естественно-научные предметы», «Естественные науки», для дополнительного образования детей по программам естественно-научной и технической направленностей.</w:t>
      </w:r>
      <w:r w:rsidRPr="00D21629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</w:p>
    <w:p w:rsidR="006A1914" w:rsidRPr="00D21629" w:rsidRDefault="006A1914" w:rsidP="006A19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D2162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   Центры образования естественно-научной и технологической направленностей «Точка роста» создаются и функционируют в общеобразовательных организациях, расположенных в сельской местности и малых городах, в целях обеспечения реализации федерального проекта «Современная школа» национального проекта «Образование». Они направлены на:</w:t>
      </w:r>
      <w:r w:rsidRPr="00D21629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</w:p>
    <w:p w:rsidR="006A1914" w:rsidRPr="00D21629" w:rsidRDefault="006A1914" w:rsidP="006A1914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D2162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Совершенствование условий для повышения качества образования в общеобразовательных организациях, расположенных в сельской местности и малых городах</w:t>
      </w:r>
    </w:p>
    <w:p w:rsidR="006A1914" w:rsidRPr="00D21629" w:rsidRDefault="006A1914" w:rsidP="006A1914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D2162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Расширение возможностей обучающихся в освоении учебных предметов и программ дополнительного образования естественно-научной и технологической направленностей</w:t>
      </w:r>
    </w:p>
    <w:p w:rsidR="006A1914" w:rsidRPr="00D21629" w:rsidRDefault="006A1914" w:rsidP="006A1914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D2162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Практическую отработку учебного материала по учебным предметам «Физика», «Химия», «Биология» на современном оборудовании</w:t>
      </w:r>
    </w:p>
    <w:p w:rsidR="006A1914" w:rsidRPr="00D21629" w:rsidRDefault="006A1914" w:rsidP="006A19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D2162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Центры «Точка роста» создаются при поддержке Министерства просвещения Российской Федерации.</w:t>
      </w:r>
    </w:p>
    <w:p w:rsidR="00CB51BA" w:rsidRDefault="006A1914">
      <w:bookmarkStart w:id="0" w:name="_GoBack"/>
      <w:bookmarkEnd w:id="0"/>
    </w:p>
    <w:sectPr w:rsidR="00CB5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31940"/>
    <w:multiLevelType w:val="multilevel"/>
    <w:tmpl w:val="A0903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914"/>
    <w:rsid w:val="006A1914"/>
    <w:rsid w:val="00760C81"/>
    <w:rsid w:val="00E9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C5DC97-805F-457F-8A4B-509ADE86D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9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2024-05-30T12:29:00Z</dcterms:created>
  <dcterms:modified xsi:type="dcterms:W3CDTF">2024-05-30T12:29:00Z</dcterms:modified>
</cp:coreProperties>
</file>