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92"/>
      </w:tblGrid>
      <w:tr w:rsidR="0076033B" w:rsidTr="00390F4F">
        <w:trPr>
          <w:trHeight w:val="322"/>
        </w:trPr>
        <w:tc>
          <w:tcPr>
            <w:tcW w:w="10492" w:type="dxa"/>
            <w:shd w:val="clear" w:color="auto" w:fill="auto"/>
          </w:tcPr>
          <w:p w:rsidR="0076033B" w:rsidRDefault="0076033B" w:rsidP="00390F4F">
            <w:pPr>
              <w:keepLines/>
              <w:widowControl/>
              <w:snapToGrid w:val="0"/>
              <w:spacing w:line="276" w:lineRule="auto"/>
              <w:ind w:firstLine="567"/>
              <w:contextualSpacing/>
              <w:jc w:val="center"/>
            </w:pPr>
            <w:bookmarkStart w:id="0" w:name="_top"/>
            <w:bookmarkEnd w:id="0"/>
            <w:r>
              <w:rPr>
                <w:noProof/>
                <w:lang w:eastAsia="ru-RU"/>
              </w:rPr>
              <w:drawing>
                <wp:anchor distT="0" distB="0" distL="114300" distR="114300" simplePos="0" relativeHeight="251659264" behindDoc="0" locked="0" layoutInCell="1" allowOverlap="1">
                  <wp:simplePos x="0" y="0"/>
                  <wp:positionH relativeFrom="column">
                    <wp:posOffset>-116840</wp:posOffset>
                  </wp:positionH>
                  <wp:positionV relativeFrom="paragraph">
                    <wp:posOffset>72669</wp:posOffset>
                  </wp:positionV>
                  <wp:extent cx="527050" cy="573405"/>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4"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573405"/>
                          </a:xfrm>
                          <a:prstGeom prst="rect">
                            <a:avLst/>
                          </a:prstGeom>
                          <a:noFill/>
                          <a:ln>
                            <a:noFill/>
                          </a:ln>
                        </pic:spPr>
                      </pic:pic>
                    </a:graphicData>
                  </a:graphic>
                </wp:anchor>
              </w:drawing>
            </w:r>
          </w:p>
          <w:p w:rsidR="0076033B" w:rsidRPr="00887E27" w:rsidRDefault="0076033B" w:rsidP="00390F4F">
            <w:pPr>
              <w:keepLines/>
              <w:widowControl/>
              <w:spacing w:line="276" w:lineRule="auto"/>
              <w:ind w:firstLine="567"/>
              <w:contextualSpacing/>
              <w:rPr>
                <w:sz w:val="30"/>
                <w:szCs w:val="30"/>
              </w:rPr>
            </w:pPr>
            <w:r w:rsidRPr="00887E27">
              <w:rPr>
                <w:b/>
                <w:sz w:val="30"/>
                <w:szCs w:val="30"/>
              </w:rPr>
              <w:t>Отделение Социального фонда России по Орловской области</w:t>
            </w:r>
          </w:p>
        </w:tc>
      </w:tr>
      <w:tr w:rsidR="0076033B" w:rsidTr="00390F4F">
        <w:trPr>
          <w:trHeight w:val="537"/>
        </w:trPr>
        <w:tc>
          <w:tcPr>
            <w:tcW w:w="10492" w:type="dxa"/>
            <w:tcBorders>
              <w:bottom w:val="single" w:sz="4" w:space="0" w:color="000000"/>
            </w:tcBorders>
            <w:shd w:val="clear" w:color="auto" w:fill="auto"/>
          </w:tcPr>
          <w:p w:rsidR="0076033B" w:rsidRDefault="0076033B" w:rsidP="00390F4F">
            <w:pPr>
              <w:keepLines/>
              <w:widowControl/>
              <w:snapToGrid w:val="0"/>
              <w:spacing w:line="276" w:lineRule="auto"/>
              <w:ind w:firstLine="567"/>
              <w:contextualSpacing/>
            </w:pPr>
            <w:r w:rsidRPr="00A560E7">
              <w:rPr>
                <w:sz w:val="24"/>
                <w:szCs w:val="24"/>
              </w:rPr>
              <w:t>302026, г. Орел, ул. Комсомольская, 108, телефон: (486-2) 72-92-41, факс 72-92-07</w:t>
            </w:r>
          </w:p>
        </w:tc>
      </w:tr>
    </w:tbl>
    <w:p w:rsidR="0076033B" w:rsidRDefault="0076033B" w:rsidP="0076033B"/>
    <w:p w:rsidR="0076033B" w:rsidRDefault="0076033B" w:rsidP="0076033B">
      <w:pPr>
        <w:jc w:val="right"/>
      </w:pPr>
      <w:r>
        <w:rPr>
          <w:rStyle w:val="oi732d6d"/>
          <w:b/>
          <w:sz w:val="28"/>
          <w:szCs w:val="28"/>
        </w:rPr>
        <w:t>Пресс-релиз</w:t>
      </w:r>
    </w:p>
    <w:p w:rsidR="0076033B" w:rsidRDefault="0076033B" w:rsidP="0076033B">
      <w:pPr>
        <w:jc w:val="right"/>
      </w:pPr>
    </w:p>
    <w:p w:rsidR="0076033B" w:rsidRDefault="0076033B"/>
    <w:p w:rsidR="0076033B" w:rsidRDefault="0076033B"/>
    <w:p w:rsidR="009C0F6C" w:rsidRDefault="009C0F6C" w:rsidP="009C0F6C">
      <w:pPr>
        <w:tabs>
          <w:tab w:val="left" w:pos="1103"/>
        </w:tabs>
        <w:jc w:val="center"/>
        <w:rPr>
          <w:b/>
          <w:sz w:val="28"/>
          <w:szCs w:val="28"/>
        </w:rPr>
      </w:pPr>
      <w:r>
        <w:rPr>
          <w:b/>
          <w:sz w:val="28"/>
          <w:szCs w:val="28"/>
        </w:rPr>
        <w:t xml:space="preserve">Более 60 тысяч технических средств реабилитации </w:t>
      </w:r>
      <w:proofErr w:type="spellStart"/>
      <w:r>
        <w:rPr>
          <w:b/>
          <w:sz w:val="28"/>
          <w:szCs w:val="28"/>
        </w:rPr>
        <w:t>орловчане</w:t>
      </w:r>
      <w:proofErr w:type="spellEnd"/>
      <w:r>
        <w:rPr>
          <w:b/>
          <w:sz w:val="28"/>
          <w:szCs w:val="28"/>
        </w:rPr>
        <w:t xml:space="preserve"> приобрели с помощью электронного сертификата в 2023 году</w:t>
      </w: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center"/>
        <w:rPr>
          <w:b/>
          <w:sz w:val="28"/>
          <w:szCs w:val="28"/>
        </w:rPr>
      </w:pPr>
    </w:p>
    <w:p w:rsidR="009C0F6C" w:rsidRDefault="009C0F6C" w:rsidP="009C0F6C">
      <w:pPr>
        <w:tabs>
          <w:tab w:val="left" w:pos="1103"/>
        </w:tabs>
        <w:jc w:val="both"/>
        <w:rPr>
          <w:i/>
          <w:color w:val="000000" w:themeColor="text1"/>
          <w:sz w:val="24"/>
          <w:szCs w:val="24"/>
        </w:rPr>
      </w:pPr>
      <w:r>
        <w:rPr>
          <w:i/>
          <w:color w:val="000000" w:themeColor="text1"/>
          <w:sz w:val="24"/>
          <w:szCs w:val="24"/>
        </w:rPr>
        <w:t xml:space="preserve">В этом году </w:t>
      </w:r>
      <w:r w:rsidRPr="00302E52">
        <w:rPr>
          <w:i/>
          <w:color w:val="000000" w:themeColor="text1"/>
          <w:sz w:val="24"/>
          <w:szCs w:val="24"/>
        </w:rPr>
        <w:t xml:space="preserve">Отделение Социального фонда России по Орловской областиоформило </w:t>
      </w:r>
      <w:r>
        <w:rPr>
          <w:i/>
          <w:color w:val="000000" w:themeColor="text1"/>
          <w:sz w:val="24"/>
          <w:szCs w:val="24"/>
        </w:rPr>
        <w:t xml:space="preserve">жителям региона </w:t>
      </w:r>
      <w:r w:rsidRPr="00302E52">
        <w:rPr>
          <w:i/>
          <w:color w:val="000000" w:themeColor="text1"/>
          <w:sz w:val="24"/>
          <w:szCs w:val="24"/>
        </w:rPr>
        <w:t xml:space="preserve">более 2 тысяч электронных сертификатов на покупку </w:t>
      </w:r>
      <w:r>
        <w:rPr>
          <w:i/>
          <w:color w:val="000000" w:themeColor="text1"/>
          <w:sz w:val="24"/>
          <w:szCs w:val="24"/>
        </w:rPr>
        <w:t>60 тысяч</w:t>
      </w:r>
      <w:r w:rsidRPr="00302E52">
        <w:rPr>
          <w:i/>
          <w:color w:val="000000" w:themeColor="text1"/>
          <w:sz w:val="24"/>
          <w:szCs w:val="24"/>
        </w:rPr>
        <w:t>различных технических средств реабилитации (ТСР)</w:t>
      </w:r>
      <w:r>
        <w:rPr>
          <w:i/>
          <w:color w:val="000000" w:themeColor="text1"/>
          <w:sz w:val="24"/>
          <w:szCs w:val="24"/>
        </w:rPr>
        <w:t>.</w:t>
      </w:r>
    </w:p>
    <w:p w:rsidR="009C0F6C" w:rsidRDefault="009C0F6C" w:rsidP="009C0F6C">
      <w:pPr>
        <w:tabs>
          <w:tab w:val="left" w:pos="1103"/>
        </w:tabs>
        <w:jc w:val="both"/>
        <w:rPr>
          <w:i/>
          <w:color w:val="000000" w:themeColor="text1"/>
          <w:sz w:val="24"/>
          <w:szCs w:val="24"/>
        </w:rPr>
      </w:pPr>
    </w:p>
    <w:p w:rsidR="009C0F6C" w:rsidRPr="00B35453" w:rsidRDefault="009C0F6C" w:rsidP="009C0F6C">
      <w:pPr>
        <w:tabs>
          <w:tab w:val="left" w:pos="1103"/>
        </w:tabs>
        <w:jc w:val="both"/>
        <w:rPr>
          <w:sz w:val="24"/>
          <w:szCs w:val="24"/>
        </w:rPr>
      </w:pPr>
      <w:r>
        <w:rPr>
          <w:sz w:val="24"/>
          <w:szCs w:val="24"/>
        </w:rPr>
        <w:t xml:space="preserve">С помощью электронного </w:t>
      </w:r>
      <w:r w:rsidR="000422DD">
        <w:rPr>
          <w:sz w:val="24"/>
          <w:szCs w:val="24"/>
        </w:rPr>
        <w:t>сертификата (</w:t>
      </w:r>
      <w:r>
        <w:rPr>
          <w:sz w:val="24"/>
          <w:szCs w:val="24"/>
        </w:rPr>
        <w:t xml:space="preserve">ЭС) гражданин может самостоятельно приобрести специальное устройство или приспособление, рекомендованное ему в индивидуальной программе реабилитации и </w:t>
      </w:r>
      <w:proofErr w:type="spellStart"/>
      <w:r>
        <w:rPr>
          <w:sz w:val="24"/>
          <w:szCs w:val="24"/>
        </w:rPr>
        <w:t>абилитации</w:t>
      </w:r>
      <w:proofErr w:type="spellEnd"/>
      <w:r>
        <w:rPr>
          <w:sz w:val="24"/>
          <w:szCs w:val="24"/>
        </w:rPr>
        <w:t xml:space="preserve"> (ИПРА). Причем, не только в офлайн-магазинах, но и на </w:t>
      </w:r>
      <w:proofErr w:type="spellStart"/>
      <w:r>
        <w:rPr>
          <w:sz w:val="24"/>
          <w:szCs w:val="24"/>
        </w:rPr>
        <w:t>маркетплейсах</w:t>
      </w:r>
      <w:proofErr w:type="spellEnd"/>
      <w:r>
        <w:rPr>
          <w:sz w:val="24"/>
          <w:szCs w:val="24"/>
        </w:rPr>
        <w:t xml:space="preserve"> не выходя из дома.  </w:t>
      </w:r>
    </w:p>
    <w:p w:rsidR="009C0F6C" w:rsidRDefault="009C0F6C" w:rsidP="009C0F6C">
      <w:pPr>
        <w:tabs>
          <w:tab w:val="left" w:pos="1103"/>
        </w:tabs>
        <w:jc w:val="both"/>
        <w:rPr>
          <w:sz w:val="24"/>
          <w:szCs w:val="24"/>
        </w:rPr>
      </w:pPr>
    </w:p>
    <w:p w:rsidR="009C0F6C" w:rsidRDefault="009C0F6C" w:rsidP="009C0F6C">
      <w:pPr>
        <w:tabs>
          <w:tab w:val="left" w:pos="1103"/>
        </w:tabs>
        <w:jc w:val="both"/>
        <w:rPr>
          <w:sz w:val="24"/>
          <w:szCs w:val="24"/>
        </w:rPr>
      </w:pPr>
      <w:r>
        <w:rPr>
          <w:sz w:val="24"/>
          <w:szCs w:val="24"/>
        </w:rPr>
        <w:t xml:space="preserve">Оформление электронногосертификататакже не требует усилий. Заявление подается на портале Госуслуг или лично в клиентской службе регионального Отделения СФР или МФЦ. Стоимость сертификата соответствует стоимости последнего исполненного государственного контракта, заключенного Отделением фонда на конкретный вид технического изделия. Даже если стоимость средства реабилитации превышает номинал электронного сертификата, изделие все равно можно будет приобрести, </w:t>
      </w:r>
      <w:r w:rsidR="000422DD">
        <w:rPr>
          <w:sz w:val="24"/>
          <w:szCs w:val="24"/>
        </w:rPr>
        <w:t>доплатив собственными</w:t>
      </w:r>
      <w:r>
        <w:rPr>
          <w:sz w:val="24"/>
          <w:szCs w:val="24"/>
        </w:rPr>
        <w:t xml:space="preserve"> средствами разницу в цене.</w:t>
      </w:r>
    </w:p>
    <w:p w:rsidR="009C0F6C" w:rsidRDefault="009C0F6C" w:rsidP="009C0F6C">
      <w:pPr>
        <w:tabs>
          <w:tab w:val="left" w:pos="1103"/>
        </w:tabs>
        <w:jc w:val="both"/>
        <w:rPr>
          <w:sz w:val="24"/>
          <w:szCs w:val="24"/>
        </w:rPr>
      </w:pP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Напоминаем, что электронный сертификат представляет собой реестровую запись, информация о выпуске которой регистрируется в Единой государственной информационной системе социального обеспечения. Обязательное условие — наличие банковской карты платежной системы «МИР».</w:t>
      </w:r>
    </w:p>
    <w:p w:rsidR="009C0F6C" w:rsidRDefault="009C0F6C" w:rsidP="009C0F6C">
      <w:pPr>
        <w:widowControl/>
        <w:suppressAutoHyphens w:val="0"/>
        <w:autoSpaceDN w:val="0"/>
        <w:adjustRightInd w:val="0"/>
        <w:spacing w:before="120" w:after="120"/>
        <w:jc w:val="both"/>
        <w:rPr>
          <w:color w:val="000000"/>
          <w:sz w:val="24"/>
          <w:szCs w:val="24"/>
          <w:lang w:eastAsia="ru-RU"/>
        </w:rPr>
      </w:pPr>
      <w:r>
        <w:rPr>
          <w:color w:val="000000"/>
          <w:sz w:val="24"/>
          <w:szCs w:val="24"/>
          <w:lang w:eastAsia="ru-RU"/>
        </w:rPr>
        <w:t xml:space="preserve">Интерактивная карта магазинов, принимающих электронные сертификаты к оплате, доступна в электронном каталоге </w:t>
      </w:r>
      <w:hyperlink r:id="rId5" w:history="1">
        <w:r>
          <w:rPr>
            <w:color w:val="000000"/>
            <w:sz w:val="24"/>
            <w:szCs w:val="24"/>
            <w:u w:val="single"/>
            <w:lang w:eastAsia="ru-RU"/>
          </w:rPr>
          <w:t>TCP</w:t>
        </w:r>
      </w:hyperlink>
      <w:r>
        <w:rPr>
          <w:color w:val="000000"/>
          <w:sz w:val="24"/>
          <w:szCs w:val="24"/>
          <w:lang w:eastAsia="ru-RU"/>
        </w:rPr>
        <w:t xml:space="preserve"> и на сайте </w:t>
      </w:r>
      <w:hyperlink r:id="rId6" w:history="1">
        <w:r>
          <w:rPr>
            <w:color w:val="000080"/>
            <w:sz w:val="24"/>
            <w:szCs w:val="24"/>
            <w:u w:val="single"/>
            <w:lang w:eastAsia="ru-RU"/>
          </w:rPr>
          <w:t>ГИС ЭС</w:t>
        </w:r>
      </w:hyperlink>
      <w:r>
        <w:rPr>
          <w:color w:val="000000"/>
          <w:sz w:val="24"/>
          <w:szCs w:val="24"/>
          <w:lang w:eastAsia="ru-RU"/>
        </w:rPr>
        <w:t>.</w:t>
      </w: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bookmarkStart w:id="1" w:name="_GoBack"/>
      <w:bookmarkEnd w:id="1"/>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8B64A8" w:rsidRDefault="008B64A8" w:rsidP="00800B6C">
      <w:pPr>
        <w:widowControl/>
        <w:suppressAutoHyphens w:val="0"/>
        <w:autoSpaceDN w:val="0"/>
        <w:adjustRightInd w:val="0"/>
        <w:spacing w:before="120" w:after="120"/>
        <w:jc w:val="both"/>
        <w:rPr>
          <w:color w:val="000000"/>
          <w:sz w:val="24"/>
          <w:szCs w:val="24"/>
          <w:lang w:eastAsia="ru-RU"/>
        </w:rPr>
      </w:pPr>
    </w:p>
    <w:p w:rsidR="00FD46C7" w:rsidRPr="00FD46C7" w:rsidRDefault="00FD46C7" w:rsidP="00FD46C7">
      <w:pPr>
        <w:widowControl/>
        <w:suppressAutoHyphens w:val="0"/>
        <w:autoSpaceDN w:val="0"/>
        <w:adjustRightInd w:val="0"/>
        <w:spacing w:before="120" w:after="120"/>
        <w:jc w:val="both"/>
        <w:rPr>
          <w:b/>
          <w:color w:val="000000"/>
          <w:sz w:val="24"/>
          <w:szCs w:val="24"/>
          <w:lang w:eastAsia="ru-RU"/>
        </w:rPr>
      </w:pPr>
    </w:p>
    <w:sectPr w:rsidR="00FD46C7" w:rsidRPr="00FD46C7" w:rsidSect="00D87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113"/>
    <w:rsid w:val="000020D2"/>
    <w:rsid w:val="000422DD"/>
    <w:rsid w:val="00082B9D"/>
    <w:rsid w:val="0010753E"/>
    <w:rsid w:val="00175D01"/>
    <w:rsid w:val="001C3A26"/>
    <w:rsid w:val="002B24DA"/>
    <w:rsid w:val="00302E52"/>
    <w:rsid w:val="00311113"/>
    <w:rsid w:val="0032751E"/>
    <w:rsid w:val="003730A0"/>
    <w:rsid w:val="00396AA9"/>
    <w:rsid w:val="003C49B1"/>
    <w:rsid w:val="004311D5"/>
    <w:rsid w:val="006358DB"/>
    <w:rsid w:val="0076033B"/>
    <w:rsid w:val="00800B6C"/>
    <w:rsid w:val="008B64A8"/>
    <w:rsid w:val="009C0F6C"/>
    <w:rsid w:val="00A05811"/>
    <w:rsid w:val="00A8728A"/>
    <w:rsid w:val="00BE1A7D"/>
    <w:rsid w:val="00CE7807"/>
    <w:rsid w:val="00D17061"/>
    <w:rsid w:val="00D8779A"/>
    <w:rsid w:val="00DF6C3B"/>
    <w:rsid w:val="00E82905"/>
    <w:rsid w:val="00F13C44"/>
    <w:rsid w:val="00FA791B"/>
    <w:rsid w:val="00FD4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3B"/>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i732d6d">
    <w:name w:val="oi732d6d"/>
    <w:basedOn w:val="a0"/>
    <w:rsid w:val="0076033B"/>
  </w:style>
  <w:style w:type="paragraph" w:styleId="a3">
    <w:name w:val="Balloon Text"/>
    <w:basedOn w:val="a"/>
    <w:link w:val="a4"/>
    <w:uiPriority w:val="99"/>
    <w:semiHidden/>
    <w:unhideWhenUsed/>
    <w:rsid w:val="008B64A8"/>
    <w:rPr>
      <w:rFonts w:ascii="Tahoma" w:hAnsi="Tahoma" w:cs="Tahoma"/>
      <w:sz w:val="16"/>
      <w:szCs w:val="16"/>
    </w:rPr>
  </w:style>
  <w:style w:type="character" w:customStyle="1" w:styleId="a4">
    <w:name w:val="Текст выноски Знак"/>
    <w:basedOn w:val="a0"/>
    <w:link w:val="a3"/>
    <w:uiPriority w:val="99"/>
    <w:semiHidden/>
    <w:rsid w:val="008B64A8"/>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rt.gov.ru/" TargetMode="External"/><Relationship Id="rId5" Type="http://schemas.openxmlformats.org/officeDocument/2006/relationships/hyperlink" Target="https://ktsr.sfr.gov.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Окунькова Анастасия Юрьевна</dc:creator>
  <cp:lastModifiedBy>067ZhurakovskayEA</cp:lastModifiedBy>
  <cp:revision>2</cp:revision>
  <cp:lastPrinted>2023-10-09T07:13:00Z</cp:lastPrinted>
  <dcterms:created xsi:type="dcterms:W3CDTF">2023-10-09T07:13:00Z</dcterms:created>
  <dcterms:modified xsi:type="dcterms:W3CDTF">2023-10-09T07:13:00Z</dcterms:modified>
</cp:coreProperties>
</file>