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C5" w:rsidRDefault="00F77BC5" w:rsidP="002500E6">
      <w:pPr>
        <w:pStyle w:val="Caption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User\Desktop\Verhovskii_rayon_coa.gif" style="width:61.5pt;height:76.5pt;visibility:visible">
            <v:imagedata r:id="rId5" o:title=""/>
          </v:shape>
        </w:pict>
      </w:r>
    </w:p>
    <w:p w:rsidR="00F77BC5" w:rsidRDefault="00F77BC5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F77BC5" w:rsidRDefault="00F77BC5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F77BC5" w:rsidRDefault="00F77BC5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F77BC5" w:rsidRPr="00FA5C93" w:rsidRDefault="00F77BC5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F77BC5" w:rsidRDefault="00F77BC5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F77BC5" w:rsidRDefault="00F77BC5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 xml:space="preserve">РЕШЕНИЕ    </w:t>
      </w:r>
    </w:p>
    <w:p w:rsidR="00F77BC5" w:rsidRDefault="00F77BC5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F77BC5" w:rsidRPr="0092508B" w:rsidRDefault="00F77BC5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2/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235 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32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F77BC5" w:rsidRPr="005C09DF" w:rsidRDefault="00F77BC5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F77BC5" w:rsidRDefault="00F77BC5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77BC5" w:rsidRDefault="00F77BC5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О бюджет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на 2020 год </w:t>
      </w:r>
    </w:p>
    <w:p w:rsidR="00F77BC5" w:rsidRPr="00AB35A4" w:rsidRDefault="00F77BC5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 годов</w:t>
      </w:r>
    </w:p>
    <w:p w:rsidR="00F77BC5" w:rsidRPr="00A20D14" w:rsidRDefault="00F77BC5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77BC5" w:rsidRPr="00A20D14" w:rsidRDefault="00F77BC5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F77BC5" w:rsidRPr="00A20D14" w:rsidRDefault="00F77BC5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9"/>
      <w:bookmarkEnd w:id="0"/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262 109,0 тыс. рублей, </w:t>
      </w:r>
      <w:r w:rsidRPr="00A20D1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21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254 486,8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253 710,9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262 109,0 тыс. рублей, </w:t>
      </w:r>
      <w:r w:rsidRPr="00A20D1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21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254 486,8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253 710,9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A1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2020 год в сумме 50 804,0 тыс. рублей; на 2021 год в сумме 51 793,0 тыс. рублей, на 2022 год в сумме 52 313,0 тыс. рублей;</w:t>
      </w:r>
    </w:p>
    <w:p w:rsidR="00F77BC5" w:rsidRPr="00D033A6" w:rsidRDefault="00F77BC5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33A6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Верховского района на </w:t>
      </w:r>
      <w:r w:rsidRPr="00D033A6">
        <w:rPr>
          <w:rFonts w:ascii="Times New Roman" w:hAnsi="Times New Roman"/>
          <w:sz w:val="26"/>
          <w:szCs w:val="26"/>
        </w:rPr>
        <w:br/>
        <w:t>1 января 20</w:t>
      </w:r>
      <w:r>
        <w:rPr>
          <w:rFonts w:ascii="Times New Roman" w:hAnsi="Times New Roman"/>
          <w:sz w:val="26"/>
          <w:szCs w:val="26"/>
        </w:rPr>
        <w:t>21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>
        <w:rPr>
          <w:rFonts w:ascii="Times New Roman" w:hAnsi="Times New Roman"/>
          <w:sz w:val="26"/>
          <w:szCs w:val="26"/>
        </w:rPr>
        <w:t>8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D033A6">
        <w:rPr>
          <w:rFonts w:ascii="Times New Roman" w:hAnsi="Times New Roman"/>
          <w:sz w:val="26"/>
          <w:szCs w:val="26"/>
        </w:rPr>
        <w:t xml:space="preserve">00,0 тыс. рублей, в том числе верхний предел муниципального долга по муниципальным гарантиям Верховского района на 1 января </w:t>
      </w:r>
      <w:r w:rsidRPr="00D033A6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на </w:t>
      </w:r>
      <w:r w:rsidRPr="00D033A6">
        <w:rPr>
          <w:rFonts w:ascii="Times New Roman" w:hAnsi="Times New Roman"/>
          <w:sz w:val="26"/>
          <w:szCs w:val="26"/>
        </w:rPr>
        <w:t>1 января 20</w:t>
      </w:r>
      <w:r>
        <w:rPr>
          <w:rFonts w:ascii="Times New Roman" w:hAnsi="Times New Roman"/>
          <w:sz w:val="26"/>
          <w:szCs w:val="26"/>
        </w:rPr>
        <w:t>22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>
        <w:rPr>
          <w:rFonts w:ascii="Times New Roman" w:hAnsi="Times New Roman"/>
          <w:sz w:val="26"/>
          <w:szCs w:val="26"/>
        </w:rPr>
        <w:t>3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D033A6">
        <w:rPr>
          <w:rFonts w:ascii="Times New Roman" w:hAnsi="Times New Roman"/>
          <w:sz w:val="26"/>
          <w:szCs w:val="26"/>
        </w:rPr>
        <w:t>00,0 тыс. рублей, в том числе верхний предел муниципального долга по муниципальным гарантиям Верховского района на 1 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3A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F77BC5" w:rsidRPr="00A20D14" w:rsidRDefault="00F77BC5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2020 год </w:t>
      </w:r>
      <w:r w:rsidRPr="00A23EA1">
        <w:rPr>
          <w:rFonts w:ascii="Times New Roman" w:hAnsi="Times New Roman"/>
          <w:sz w:val="26"/>
          <w:szCs w:val="26"/>
        </w:rPr>
        <w:t>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по уровням бюджетной системы </w:t>
      </w:r>
      <w:r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, не установленные бюджетным Законодательством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и администраторов доходов бюджета Верховского района – органов местного самоуправления Верховского района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Верховского района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4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В случае изменения в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Верховского района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7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F77BC5" w:rsidRPr="00A20D14" w:rsidRDefault="00F77BC5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108,9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>
        <w:rPr>
          <w:rFonts w:ascii="Times New Roman" w:hAnsi="Times New Roman"/>
          <w:sz w:val="26"/>
          <w:szCs w:val="26"/>
        </w:rPr>
        <w:t>21</w:t>
      </w:r>
      <w:r w:rsidRPr="00A20D14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108,9</w:t>
      </w:r>
      <w:r w:rsidRPr="00A20D14">
        <w:rPr>
          <w:rFonts w:ascii="Times New Roman" w:hAnsi="Times New Roman"/>
          <w:sz w:val="26"/>
          <w:szCs w:val="26"/>
        </w:rPr>
        <w:t xml:space="preserve"> тыс. рублей  и на 202</w:t>
      </w:r>
      <w:r>
        <w:rPr>
          <w:rFonts w:ascii="Times New Roman" w:hAnsi="Times New Roman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108,9</w:t>
      </w:r>
      <w:r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F77BC5" w:rsidRDefault="00F77BC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F77BC5" w:rsidRPr="00A20D14" w:rsidRDefault="00F77BC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10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5. Утвердить прогнозируемое поступление доходов и распределение бюджетных ассигнований Дорожного фонда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Верховского района.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6. Особенности использования бюджетных ассигнований на обеспечение деятельности органов местного самоуправления Верховского района и казенных учреждений Верховского района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Администрация Верховского района не вправе принимать решения, приводящие к увеличению в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муниципальных служащих, работников, не отнесенных к должностям муниципальной службы Верховского района и работников казенных и бюджетных учреждений Верховского района.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Заключение и оплата органами местного самоуправления и казенными учреждениями Верховского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местного самоуправления Верховского района и казенными учреждениями Верховского района сверх доведенных им лимитов бюджетных обязательств, не подлежат оплате за счет средств бюджета Верховского района.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Не подлежат оплате обязательства, принятые органами местного самоуправления Верховского района и казенными учреждениями Верховского района,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Верховского района.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F77BC5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- по о</w:t>
      </w:r>
      <w:r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F77BC5" w:rsidRDefault="00F77BC5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B53">
        <w:rPr>
          <w:rFonts w:ascii="Times New Roman" w:hAnsi="Times New Roman"/>
          <w:sz w:val="26"/>
          <w:szCs w:val="26"/>
        </w:rPr>
        <w:t>6. Установить, что в соответствии с частью 2 статьи 14.1 решения от 30 октября 2012 года № 16/144-рс "Об утверждении Положения о муниципальной службе в Верховском районе Орловской области" с 1 января 20</w:t>
      </w:r>
      <w:r>
        <w:rPr>
          <w:rFonts w:ascii="Times New Roman" w:hAnsi="Times New Roman"/>
          <w:sz w:val="26"/>
          <w:szCs w:val="26"/>
        </w:rPr>
        <w:t>20</w:t>
      </w:r>
      <w:r w:rsidRPr="00CD4B53">
        <w:rPr>
          <w:rFonts w:ascii="Times New Roman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F77BC5" w:rsidRPr="00447D0A" w:rsidRDefault="00F77BC5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447D0A">
        <w:rPr>
          <w:rFonts w:ascii="Times New Roman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7. Особенности исполнения бюджета Верховского района в 20</w:t>
      </w:r>
      <w:r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перераспределение бюджетных ассигнований Дорожного фонда Верховского района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Администрации Верховского района;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перераспределение бюджетных ассигнований в пределах, предусмотренных настоящим Решение на реализацию муниципальных программ Верховского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Администрации Верховского района об утверждении муниципальных программ Верховского района;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Верховского района между группами и подгруппами видов расходов классификации расходов бюджета Верховского района;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F77BC5" w:rsidRPr="00A20D14" w:rsidRDefault="00F77BC5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8. Особенности межбюджетных отношений в 20</w:t>
      </w:r>
      <w:r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F77BC5" w:rsidRDefault="00F77BC5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на 2020 год и на плановый период 2021 и 2022 годов равным 1,189.</w:t>
      </w:r>
    </w:p>
    <w:p w:rsidR="00F77BC5" w:rsidRPr="00093BDC" w:rsidRDefault="00F77BC5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>
        <w:rPr>
          <w:rFonts w:ascii="Times New Roman" w:hAnsi="Times New Roman"/>
          <w:sz w:val="26"/>
          <w:szCs w:val="26"/>
        </w:rPr>
        <w:t xml:space="preserve">на 2020 год и на плановый период 2021 и 2022 годов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77BC5" w:rsidRPr="0059098A" w:rsidRDefault="00F77BC5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12.</w:t>
      </w:r>
    </w:p>
    <w:p w:rsidR="00F77BC5" w:rsidRPr="001764EC" w:rsidRDefault="00F77BC5" w:rsidP="008B32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13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77BC5" w:rsidRDefault="00F77BC5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>. 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</w:t>
      </w:r>
      <w:r>
        <w:rPr>
          <w:rFonts w:ascii="Times New Roman" w:hAnsi="Times New Roman"/>
          <w:sz w:val="26"/>
          <w:szCs w:val="26"/>
        </w:rPr>
        <w:t>полнений и (или) особых условий.</w:t>
      </w:r>
    </w:p>
    <w:p w:rsidR="00F77BC5" w:rsidRPr="007162A1" w:rsidRDefault="00F77BC5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F77BC5" w:rsidRPr="007162A1" w:rsidRDefault="00F77BC5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Pr="007162A1">
        <w:rPr>
          <w:rFonts w:ascii="Times New Roman" w:hAnsi="Times New Roman"/>
          <w:sz w:val="26"/>
          <w:szCs w:val="26"/>
        </w:rPr>
        <w:t>:</w:t>
      </w:r>
    </w:p>
    <w:p w:rsidR="00F77BC5" w:rsidRPr="007162A1" w:rsidRDefault="00F77BC5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>
        <w:rPr>
          <w:rFonts w:ascii="Times New Roman" w:hAnsi="Times New Roman"/>
          <w:sz w:val="26"/>
          <w:szCs w:val="26"/>
        </w:rPr>
        <w:t xml:space="preserve"> 351,0 </w:t>
      </w:r>
      <w:r w:rsidRPr="007162A1">
        <w:rPr>
          <w:rFonts w:ascii="Times New Roman" w:hAnsi="Times New Roman"/>
          <w:sz w:val="26"/>
          <w:szCs w:val="26"/>
        </w:rPr>
        <w:t>тыс. рублей, в том числе на:</w:t>
      </w:r>
    </w:p>
    <w:p w:rsidR="00F77BC5" w:rsidRDefault="00F77BC5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1,0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</w:p>
    <w:p w:rsidR="00F77BC5" w:rsidRDefault="00F77BC5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>
        <w:rPr>
          <w:rFonts w:ascii="Times New Roman" w:hAnsi="Times New Roman"/>
          <w:sz w:val="26"/>
          <w:szCs w:val="26"/>
        </w:rPr>
        <w:t>Муниципальным контрактом от 7 октября 2019  года № 22.19</w:t>
      </w:r>
      <w:r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350,0 тыс. рублей.</w:t>
      </w:r>
    </w:p>
    <w:p w:rsidR="00F77BC5" w:rsidRPr="007162A1" w:rsidRDefault="00F77BC5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F77BC5" w:rsidRPr="007162A1" w:rsidRDefault="00F77BC5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6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4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F77BC5" w:rsidRDefault="00F77BC5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>
        <w:rPr>
          <w:rFonts w:ascii="Times New Roman" w:hAnsi="Times New Roman"/>
          <w:sz w:val="26"/>
          <w:szCs w:val="26"/>
        </w:rPr>
        <w:t>.</w:t>
      </w:r>
    </w:p>
    <w:p w:rsidR="00F77BC5" w:rsidRPr="007162A1" w:rsidRDefault="00F77BC5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перечень главных администраторов источников финансирования дефицита бюджета Верховского района 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F77BC5" w:rsidRPr="00A20D14" w:rsidRDefault="00F77BC5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F77BC5" w:rsidRDefault="00F77BC5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F77BC5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 Решение вступает в силу с 1 января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F77BC5" w:rsidRPr="00A20D14" w:rsidRDefault="00F77BC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BC5" w:rsidRDefault="00F77BC5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F77BC5" w:rsidRDefault="00F77BC5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F77BC5" w:rsidRDefault="00F77BC5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F77BC5" w:rsidRPr="00A20D14" w:rsidRDefault="00F77BC5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sectPr w:rsidR="00F77BC5" w:rsidRPr="00A20D14" w:rsidSect="00FF683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8B"/>
    <w:rsid w:val="0000028F"/>
    <w:rsid w:val="00004C09"/>
    <w:rsid w:val="00005E3F"/>
    <w:rsid w:val="00023B51"/>
    <w:rsid w:val="00031AEA"/>
    <w:rsid w:val="00042249"/>
    <w:rsid w:val="00046D20"/>
    <w:rsid w:val="0005441B"/>
    <w:rsid w:val="00060EAF"/>
    <w:rsid w:val="00065F5E"/>
    <w:rsid w:val="00080FE8"/>
    <w:rsid w:val="00085D75"/>
    <w:rsid w:val="00093BDC"/>
    <w:rsid w:val="000B5648"/>
    <w:rsid w:val="000B6D75"/>
    <w:rsid w:val="000D3254"/>
    <w:rsid w:val="000E1A28"/>
    <w:rsid w:val="00101E1C"/>
    <w:rsid w:val="001155CB"/>
    <w:rsid w:val="00136F4B"/>
    <w:rsid w:val="001406E9"/>
    <w:rsid w:val="001430C5"/>
    <w:rsid w:val="001462B0"/>
    <w:rsid w:val="00155EB9"/>
    <w:rsid w:val="00167CE1"/>
    <w:rsid w:val="00170EBF"/>
    <w:rsid w:val="001764EC"/>
    <w:rsid w:val="001826C6"/>
    <w:rsid w:val="001A6412"/>
    <w:rsid w:val="001C3F8E"/>
    <w:rsid w:val="001E5259"/>
    <w:rsid w:val="0020388B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496A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95E03"/>
    <w:rsid w:val="003A68E9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47D0A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9098A"/>
    <w:rsid w:val="005A63A8"/>
    <w:rsid w:val="005B2DA9"/>
    <w:rsid w:val="005B6FAB"/>
    <w:rsid w:val="005C09DF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E2BA8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A11FA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5D5D"/>
    <w:rsid w:val="008B3258"/>
    <w:rsid w:val="008B67EE"/>
    <w:rsid w:val="008E122A"/>
    <w:rsid w:val="008E17DF"/>
    <w:rsid w:val="008F63B9"/>
    <w:rsid w:val="00912E41"/>
    <w:rsid w:val="00915E0A"/>
    <w:rsid w:val="00920AF7"/>
    <w:rsid w:val="0092508B"/>
    <w:rsid w:val="00935ED5"/>
    <w:rsid w:val="00937015"/>
    <w:rsid w:val="0095069B"/>
    <w:rsid w:val="00951ADD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2C92"/>
    <w:rsid w:val="00BF3491"/>
    <w:rsid w:val="00BF54C1"/>
    <w:rsid w:val="00BF6AFD"/>
    <w:rsid w:val="00C047DC"/>
    <w:rsid w:val="00C63A9B"/>
    <w:rsid w:val="00C70C73"/>
    <w:rsid w:val="00C7754B"/>
    <w:rsid w:val="00CA7F3A"/>
    <w:rsid w:val="00CB4903"/>
    <w:rsid w:val="00CC20F9"/>
    <w:rsid w:val="00CC3504"/>
    <w:rsid w:val="00CC5963"/>
    <w:rsid w:val="00CD3F4D"/>
    <w:rsid w:val="00CD4B53"/>
    <w:rsid w:val="00D0143B"/>
    <w:rsid w:val="00D033A6"/>
    <w:rsid w:val="00D12872"/>
    <w:rsid w:val="00D1737F"/>
    <w:rsid w:val="00D34420"/>
    <w:rsid w:val="00D36E00"/>
    <w:rsid w:val="00D45AB7"/>
    <w:rsid w:val="00D60EA0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0CF1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D7C33"/>
    <w:rsid w:val="00EF0617"/>
    <w:rsid w:val="00EF5A5B"/>
    <w:rsid w:val="00F24B4D"/>
    <w:rsid w:val="00F3002E"/>
    <w:rsid w:val="00F31C2C"/>
    <w:rsid w:val="00F4174D"/>
    <w:rsid w:val="00F64972"/>
    <w:rsid w:val="00F73300"/>
    <w:rsid w:val="00F77BC5"/>
    <w:rsid w:val="00F8065B"/>
    <w:rsid w:val="00F80892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50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046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CFBB8DD2EFD2ECAD2109FC1620417E531BA0A48A0E89ACED3859EB136FB82843oD7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5</Pages>
  <Words>2366</Words>
  <Characters>13490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cp:lastPrinted>2019-11-21T12:49:00Z</cp:lastPrinted>
  <dcterms:created xsi:type="dcterms:W3CDTF">2013-11-14T10:46:00Z</dcterms:created>
  <dcterms:modified xsi:type="dcterms:W3CDTF">2019-11-22T13:55:00Z</dcterms:modified>
</cp:coreProperties>
</file>