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CC" w:rsidRPr="007B04CC" w:rsidRDefault="007B04CC" w:rsidP="007B04CC">
      <w:pPr>
        <w:jc w:val="right"/>
        <w:rPr>
          <w:sz w:val="28"/>
          <w:szCs w:val="28"/>
        </w:rPr>
      </w:pPr>
      <w:r w:rsidRPr="007B04CC">
        <w:rPr>
          <w:i/>
          <w:iCs/>
          <w:sz w:val="28"/>
          <w:szCs w:val="28"/>
        </w:rPr>
        <w:t>«В Орловской области уже есть опыт по созданию и развитию территориального общественного самоуправления: охват населения области деятельностью ТОС составляет 57 %.»</w:t>
      </w:r>
    </w:p>
    <w:p w:rsidR="007B04CC" w:rsidRDefault="007B04CC" w:rsidP="007B04CC">
      <w:bookmarkStart w:id="0" w:name="_GoBack"/>
      <w:bookmarkEnd w:id="0"/>
    </w:p>
    <w:p w:rsidR="007B04CC" w:rsidRPr="007B04CC" w:rsidRDefault="007B04CC" w:rsidP="007B04CC">
      <w:pPr>
        <w:jc w:val="center"/>
        <w:rPr>
          <w:b/>
          <w:sz w:val="28"/>
          <w:szCs w:val="28"/>
          <w:u w:val="single"/>
        </w:rPr>
      </w:pPr>
      <w:r w:rsidRPr="007B04CC">
        <w:rPr>
          <w:b/>
          <w:sz w:val="28"/>
          <w:szCs w:val="28"/>
          <w:u w:val="single"/>
        </w:rPr>
        <w:t>Необходимо ли орловцам территориальное общественное самоуправление?</w:t>
      </w:r>
    </w:p>
    <w:p w:rsidR="006D5CCF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Территориальное общественное самоуправление (ТОС) является одной из форм участия граждан в местном самоуправлении. ТОС действует по принципу «снизу-вверх», являясь проводником народной инициативы.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Согласно статье 27 Федерального закона от 6 октября 2003 года №131-ФЗ «Об общих принципах организации местного самоуправления в Российской Федерации</w:t>
      </w:r>
      <w:proofErr w:type="gramStart"/>
      <w:r w:rsidRPr="007B04CC">
        <w:rPr>
          <w:sz w:val="28"/>
          <w:szCs w:val="28"/>
        </w:rPr>
        <w:t>»</w:t>
      </w:r>
      <w:proofErr w:type="gramEnd"/>
      <w:r w:rsidRPr="007B04CC">
        <w:rPr>
          <w:sz w:val="28"/>
          <w:szCs w:val="28"/>
        </w:rPr>
        <w:t xml:space="preserve"> ТОС - это самоорганизация граждан по месту их жительства на части территории поселения для самостоятельного осуществления собственных инициатив по вопросам местного значения.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ТОС необходимо для того, чтобы оперативно и результативно решать конкретные проблемы людей, которые трудно реализовать с помощью стандартных механизмов государственного и муниципального управления.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Жители ТОСов сами определяют актуальную проблему и намечают пути её решения. Местные органы власти при этом могут оказывать содействие в виде методической помощи, координации действий инициаторов, обеспечивать жителей необходимым инвентарём, оборудованием, расходными материалами и специалистами для решения выявленной проблемы.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 xml:space="preserve">В некоторых субъектах Российской Федерации, </w:t>
      </w:r>
      <w:proofErr w:type="gramStart"/>
      <w:r w:rsidRPr="007B04CC">
        <w:rPr>
          <w:sz w:val="28"/>
          <w:szCs w:val="28"/>
        </w:rPr>
        <w:t>например</w:t>
      </w:r>
      <w:proofErr w:type="gramEnd"/>
      <w:r w:rsidRPr="007B04CC">
        <w:rPr>
          <w:sz w:val="28"/>
          <w:szCs w:val="28"/>
        </w:rPr>
        <w:t xml:space="preserve"> в Воронежской области, осуществляется государственная поддержка ТОС через гранты. Такая поддержка осуществляется при соблюдении двух важных условий. Первое: поддерживаются только те инициативы, в реализации которых готовы участвовать сами жители, используя на это своё время и силы. И второй момент - местные инициативы должны быть отобраны общественниками и ими же контролироваться.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Говоря о взаимодействии системы «территориальное общественное самоуправление - органы местного самоуправления», можно выделить также два основных подхода.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 xml:space="preserve">Административный. Он характеризуется включением руководителей ТОС в состав коллегии администрации города, участием в заседаниях городского Совета, заседаниях советов ТОС при мэре и губернаторе с правом совещательного голоса при рассмотрении вопросов, касающихся интересов определённой территории. Такой подход, безусловно, активизирует взаимодействие между уровнями местного самоуправления. Но при этом допускает организационное вмешательство органов власти в деятельность </w:t>
      </w:r>
      <w:r w:rsidRPr="007B04CC">
        <w:rPr>
          <w:sz w:val="28"/>
          <w:szCs w:val="28"/>
        </w:rPr>
        <w:lastRenderedPageBreak/>
        <w:t>ТОС. При наличии взаимных интересов административный подход может быть успешно реализован.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 xml:space="preserve">Возможен также кооперационный подход. В этом случае эффективность процесса зависит от уровня развития гражданского общества, основу которого составляют общественные некоммерческие организации. Органы ТОС выступают учредителями данных организаций - ассоциаций ТОС, фондов объединения и развития ТОС, домовых и квартальных комитетов. Целевая направленность деятельности подобных организаций позволяет им эффективно распределять бюджетные средства в рамках стратегической программы социально-экономического развития территории. Определяющей характеристикой ТОС является наличие инициативы населения в рамках различных форм самоорганизации, а также его переходный статус между </w:t>
      </w:r>
      <w:proofErr w:type="spellStart"/>
      <w:r w:rsidRPr="007B04CC">
        <w:rPr>
          <w:sz w:val="28"/>
          <w:szCs w:val="28"/>
        </w:rPr>
        <w:t>самоорганизационным</w:t>
      </w:r>
      <w:proofErr w:type="spellEnd"/>
      <w:r w:rsidRPr="007B04CC">
        <w:rPr>
          <w:sz w:val="28"/>
          <w:szCs w:val="28"/>
        </w:rPr>
        <w:t xml:space="preserve"> и самоуправленческим потенциалом в системе местного самоуправления.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В марте 2008 года было принято Положение о ТОС в городе Орле, которое определило порядок его организации, регистрации устава, условия выделения необходимых средств из местного бюджета. Этим положением введены чёткие виды, правила создания, регистрации ТОС. Они могут быть следующих видов: комитет подъезда; домовой комитет; уличный комитет и ТОС микрорайона.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Сегодня в Орловской области уже есть опыт по созданию и развитию территориального общественного самоуправления: охват населения области деятельностью ТОС составляет 57%, а самые первые из них появились ещё в 90-е годы.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 xml:space="preserve">В качестве примера успешного развития ТОС можно назвать город Орёл. На территории города учреждён 321 орган ТОС (120 уличных комитетов, 201 домовый комитет), зарегистрированы координационные советы органов ТОС, общественные советы председателей </w:t>
      </w:r>
      <w:proofErr w:type="spellStart"/>
      <w:r w:rsidRPr="007B04CC">
        <w:rPr>
          <w:sz w:val="28"/>
          <w:szCs w:val="28"/>
        </w:rPr>
        <w:t>уличкомов</w:t>
      </w:r>
      <w:proofErr w:type="spellEnd"/>
      <w:r w:rsidRPr="007B04CC">
        <w:rPr>
          <w:sz w:val="28"/>
          <w:szCs w:val="28"/>
        </w:rPr>
        <w:t>. Общественное самоуправление города решает немало социально значимых вопросов: осуществляет контроль в сфере ЖКХ, участвует в организации спортивных соревнований, праздничных мероприятий, решает бытовые проблемы населения.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В ряде муниципальных районов области одной из наиболее динамичных форм территориального общественного самоуправления является функционирование и развитие института сельских старост (Покровский район - 83 старосты, 10 - в райцентре и 73 в муниципальных поселениях). Сельские старосты являются связующим звеном жителей с органами местного самоуправления, занимаются общественной работой на добро</w:t>
      </w:r>
      <w:r w:rsidRPr="007B04CC">
        <w:rPr>
          <w:sz w:val="28"/>
          <w:szCs w:val="28"/>
        </w:rPr>
        <w:softHyphen/>
        <w:t>вольной основе и пользуются непререкаемым авторитетом у людей.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 xml:space="preserve">В основе существующей в нашей области системы территориального общественного самоуправления полностью реализована только первая ступень - советы многоквартирных домов, уличные комитеты, старосты </w:t>
      </w:r>
      <w:r w:rsidRPr="007B04CC">
        <w:rPr>
          <w:sz w:val="28"/>
          <w:szCs w:val="28"/>
        </w:rPr>
        <w:lastRenderedPageBreak/>
        <w:t>(характерно для сельских поселений). Важным моментом становится включение в состав ТОС депутатов, лидеров общественного мнения, представителей бизнеса. Большинство ТОС в муниципальных образованиях созданы без образования юридического лица, но это не мешает им брать на себя ответственность за свою территорию. ТОСы стали реальными партнёрами участковых инспекторов полиции, служб социальной защиты и центров социального обслуживания, административных комиссий и комиссий по делам несовершеннолетних.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Ещё в 90-е годы на Орловщине начала формироваться и нормативно-правовая база деятельности ТОС, которая за это время претерпевала изменения, порождённые опытом и практикой, совершенствованием законодательства о местном самоуправлении. На данный момент все муниципальные образования области имеют нормативно-правовую базу деятельности ТОС, при этом назрела необходимость её совершенствования: принятие Концепции развития ТОС в Орловской области до 2021 года (поэтапно: создание эффективной организационной структуры, повышение уровня профессионализма, обеспечение информационного сопровождения, повышение эффективности взаимодействия ТОС, повышение вклада ТОС в развитие территории), разработка государственной программы Орловской области «Развитие местного самоуправления в Орловской области» (либо подпрограммы в программе «Повышение эффективности государственного и муниципального управления в Орловской области, поддержка институтов гражданского общества»), принятие Закона Орловской области о поддержке ТОС.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 xml:space="preserve">Сегодня федеральное законодательство позволяет не регистрировать территориальное общественное самоуправление в качестве юридического лица. Но стоит учесть, что именно такая регистрация придаёт </w:t>
      </w:r>
      <w:proofErr w:type="spellStart"/>
      <w:r w:rsidRPr="007B04CC">
        <w:rPr>
          <w:sz w:val="28"/>
          <w:szCs w:val="28"/>
        </w:rPr>
        <w:t>ТОСам</w:t>
      </w:r>
      <w:proofErr w:type="spellEnd"/>
      <w:r w:rsidRPr="007B04CC">
        <w:rPr>
          <w:sz w:val="28"/>
          <w:szCs w:val="28"/>
        </w:rPr>
        <w:t xml:space="preserve"> особый статус, переводя их в разряд субъектов гражданских правоотношений и давая ряд дополнительных возможностей. Сегодня назрела, например, необходимость реализации депутатами всех уровней наказов избирателей путём финансовой поддержки ТОС.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Говоря о </w:t>
      </w:r>
      <w:proofErr w:type="spellStart"/>
      <w:r w:rsidRPr="007B04CC">
        <w:rPr>
          <w:sz w:val="28"/>
          <w:szCs w:val="28"/>
        </w:rPr>
        <w:t>ТОСовском</w:t>
      </w:r>
      <w:proofErr w:type="spellEnd"/>
      <w:r w:rsidRPr="007B04CC">
        <w:rPr>
          <w:sz w:val="28"/>
          <w:szCs w:val="28"/>
        </w:rPr>
        <w:t xml:space="preserve"> движении в Орловской области, нельзя не отметить, что жители муниципальных образований готовы к совершенствованию работы по управлению территорией. Это показывают совместные встречи </w:t>
      </w:r>
      <w:proofErr w:type="spellStart"/>
      <w:r w:rsidRPr="007B04CC">
        <w:rPr>
          <w:sz w:val="28"/>
          <w:szCs w:val="28"/>
        </w:rPr>
        <w:t>ТОСовцев</w:t>
      </w:r>
      <w:proofErr w:type="spellEnd"/>
      <w:r w:rsidRPr="007B04CC">
        <w:rPr>
          <w:sz w:val="28"/>
          <w:szCs w:val="28"/>
        </w:rPr>
        <w:t xml:space="preserve">, проводимые в регионе. Практика такого взаимодействия должна расширяться, перерастая в межрегиональное (сетевые межрегиональные площадки), где обязательно сложится традиция постоянного обмена опытом, выработки новых подходов к работе, направлений развития, механизма взаимодействия с органами местного самоуправления, а значит, и популяризации ТОС. Понимая их роль, все муниципальные образования области стараются поддержать инициаторов и активистов территориального общественного самоуправления (в отдельных </w:t>
      </w:r>
      <w:r w:rsidRPr="007B04CC">
        <w:rPr>
          <w:sz w:val="28"/>
          <w:szCs w:val="28"/>
        </w:rPr>
        <w:lastRenderedPageBreak/>
        <w:t>случаях - освобождаются от уплаты земельного налога, компенсируются затраты на оплату коммунальных услуг, материальная поддержка руководителей ТОС, система материального поощрения активистов и победителей конкурсов). Но нужны более конструктивные шаги. Проблемы популяризации ТОС не решить без финансовой поддержки инициатив и проектов на конкурсной основе. В практику территориального общественного самоуправления вошли конкурсы по итогам благоустройства, озеленению и образцовому содержанию территории; подготовки к праздникам, по выбору лучших домов, дворов, улиц и подъездов, микрорайонов, объектов досуга, организуемые исключительно среди ТОС.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К сожалению, на сегодня ТОС в Орловской области юридически не оформлено (не приняты уставы ТОС, не проведены организационные мероприятия по выбору руководителей ТОС и т.д.).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Первоочередными задачами в сфере ТОС можно считать инициирование создания ТОС, определение территорий ТОС, утверждение типовых уставов в муниципальных образованиях, проведение учредительных собраний или конференций граждан, принятие уставов ТОС, регистрация уставов в муниципальных образованиях, обучение персонала (старост, председателей домовых комитетов, председателей уличных комитетов и т.д.), организационную и методическую помощь в запуске ТОС.</w:t>
      </w:r>
    </w:p>
    <w:p w:rsid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4CC">
        <w:rPr>
          <w:sz w:val="28"/>
          <w:szCs w:val="28"/>
        </w:rPr>
        <w:t>Мы приглашаем к обсуждению поставленной проблемы население Орловской области, активных граждан, представителей домовых и уличных комитетов, старост, руководителей органов местного самоуправления, депутатов всех уровней. Предложения направлять по электронной почте: </w:t>
      </w:r>
      <w:hyperlink r:id="rId4" w:history="1">
        <w:r w:rsidRPr="007B04CC">
          <w:rPr>
            <w:rStyle w:val="a3"/>
            <w:sz w:val="28"/>
            <w:szCs w:val="28"/>
          </w:rPr>
          <w:t>0057orel@mail.ru</w:t>
        </w:r>
      </w:hyperlink>
      <w:r>
        <w:rPr>
          <w:sz w:val="28"/>
          <w:szCs w:val="28"/>
        </w:rPr>
        <w:t xml:space="preserve">. </w:t>
      </w:r>
    </w:p>
    <w:p w:rsidR="007B04CC" w:rsidRPr="007B04CC" w:rsidRDefault="007B04CC" w:rsidP="007B04C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4CC" w:rsidRDefault="007B04CC" w:rsidP="007B04CC">
      <w:pPr>
        <w:spacing w:after="0"/>
        <w:jc w:val="right"/>
        <w:rPr>
          <w:b/>
          <w:bCs/>
          <w:i/>
          <w:iCs/>
          <w:sz w:val="26"/>
          <w:szCs w:val="26"/>
        </w:rPr>
      </w:pPr>
      <w:r w:rsidRPr="007B04CC">
        <w:rPr>
          <w:b/>
          <w:bCs/>
          <w:i/>
          <w:iCs/>
          <w:sz w:val="26"/>
          <w:szCs w:val="26"/>
        </w:rPr>
        <w:t>Валерий САВИН, председатель комитета по</w:t>
      </w:r>
    </w:p>
    <w:p w:rsidR="007B04CC" w:rsidRPr="007B04CC" w:rsidRDefault="007B04CC" w:rsidP="007B04CC">
      <w:pPr>
        <w:spacing w:after="0"/>
        <w:jc w:val="right"/>
        <w:rPr>
          <w:sz w:val="26"/>
          <w:szCs w:val="26"/>
        </w:rPr>
      </w:pPr>
      <w:r w:rsidRPr="007B04CC">
        <w:rPr>
          <w:b/>
          <w:bCs/>
          <w:i/>
          <w:iCs/>
          <w:sz w:val="26"/>
          <w:szCs w:val="26"/>
        </w:rPr>
        <w:t xml:space="preserve"> местному самоуправлению и регламенту</w:t>
      </w:r>
    </w:p>
    <w:p w:rsidR="007B04CC" w:rsidRDefault="007B04CC" w:rsidP="007B04CC">
      <w:pPr>
        <w:spacing w:after="0"/>
        <w:jc w:val="right"/>
        <w:rPr>
          <w:b/>
          <w:bCs/>
          <w:i/>
          <w:iCs/>
          <w:sz w:val="26"/>
          <w:szCs w:val="26"/>
        </w:rPr>
      </w:pPr>
      <w:r w:rsidRPr="007B04CC">
        <w:rPr>
          <w:b/>
          <w:bCs/>
          <w:i/>
          <w:iCs/>
          <w:sz w:val="26"/>
          <w:szCs w:val="26"/>
        </w:rPr>
        <w:t xml:space="preserve">Орловского областного Совета народных депутатов, </w:t>
      </w:r>
    </w:p>
    <w:p w:rsidR="007B04CC" w:rsidRPr="007B04CC" w:rsidRDefault="007B04CC" w:rsidP="007B04CC">
      <w:pPr>
        <w:spacing w:after="0"/>
        <w:jc w:val="right"/>
        <w:rPr>
          <w:sz w:val="26"/>
          <w:szCs w:val="26"/>
        </w:rPr>
      </w:pPr>
      <w:r w:rsidRPr="007B04CC">
        <w:rPr>
          <w:b/>
          <w:bCs/>
          <w:i/>
          <w:iCs/>
          <w:sz w:val="26"/>
          <w:szCs w:val="26"/>
        </w:rPr>
        <w:t>кандидат юридических наук, профессор</w:t>
      </w:r>
    </w:p>
    <w:p w:rsidR="007B04CC" w:rsidRDefault="007B04CC" w:rsidP="007B04CC"/>
    <w:sectPr w:rsidR="007B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4E"/>
    <w:rsid w:val="00265B4E"/>
    <w:rsid w:val="006D5CCF"/>
    <w:rsid w:val="007B04CC"/>
    <w:rsid w:val="00C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F684"/>
  <w15:chartTrackingRefBased/>
  <w15:docId w15:val="{69A8EF9D-36D4-4ADD-80CB-DE8A30B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57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2018-12-12T06:03:00Z</dcterms:created>
  <dcterms:modified xsi:type="dcterms:W3CDTF">2018-12-12T06:03:00Z</dcterms:modified>
</cp:coreProperties>
</file>